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1E801">
      <w:pPr>
        <w:pStyle w:val="77"/>
        <w:spacing w:line="276" w:lineRule="auto"/>
        <w:rPr>
          <w:rFonts w:hint="default" w:ascii="Arial" w:hAnsi="Arial" w:eastAsia="等线" w:cs="Arial"/>
          <w:b/>
          <w:bCs/>
          <w:sz w:val="28"/>
          <w:szCs w:val="28"/>
          <w:lang w:val="en-US" w:eastAsia="zh-CN"/>
        </w:rPr>
      </w:pPr>
      <w:r>
        <w:rPr>
          <w:rFonts w:ascii="Arial" w:hAnsi="Arial" w:cs="Arial"/>
          <w:b/>
          <w:bCs/>
          <w:sz w:val="28"/>
          <w:szCs w:val="28"/>
          <w:lang w:val="en-US" w:eastAsia="ko-KR"/>
        </w:rPr>
        <w:t>3GPP TSG RAN Meeting #10</w:t>
      </w:r>
      <w:r>
        <w:rPr>
          <w:rFonts w:hint="eastAsia" w:ascii="Arial" w:hAnsi="Arial" w:eastAsia="Malgun Gothic" w:cs="Arial"/>
          <w:b/>
          <w:bCs/>
          <w:sz w:val="28"/>
          <w:szCs w:val="28"/>
          <w:lang w:val="en-US" w:eastAsia="ko-KR"/>
        </w:rPr>
        <w:t>9</w:t>
      </w:r>
      <w:r>
        <w:rPr>
          <w:rFonts w:ascii="Arial" w:hAnsi="Arial" w:cs="Arial"/>
          <w:b/>
          <w:bCs/>
          <w:sz w:val="28"/>
          <w:szCs w:val="28"/>
          <w:lang w:val="en-US" w:eastAsia="ko-KR"/>
        </w:rPr>
        <w:tab/>
      </w:r>
      <w:r>
        <w:rPr>
          <w:rFonts w:ascii="Arial" w:hAnsi="Arial" w:cs="Arial"/>
          <w:b/>
          <w:bCs/>
          <w:sz w:val="28"/>
          <w:szCs w:val="28"/>
          <w:lang w:val="en-US" w:eastAsia="ko-KR"/>
        </w:rPr>
        <w:tab/>
      </w:r>
      <w:r>
        <w:rPr>
          <w:rFonts w:ascii="Arial" w:hAnsi="Arial" w:cs="Arial"/>
          <w:b/>
          <w:bCs/>
          <w:sz w:val="28"/>
          <w:szCs w:val="28"/>
          <w:lang w:val="en-US" w:eastAsia="ko-KR"/>
        </w:rPr>
        <w:tab/>
      </w:r>
      <w:r>
        <w:rPr>
          <w:rFonts w:ascii="Arial" w:hAnsi="Arial" w:cs="Arial"/>
          <w:b/>
          <w:bCs/>
          <w:sz w:val="28"/>
          <w:szCs w:val="28"/>
          <w:lang w:val="en-US" w:eastAsia="ko-KR"/>
        </w:rPr>
        <w:tab/>
      </w:r>
      <w:r>
        <w:rPr>
          <w:rFonts w:ascii="Arial" w:hAnsi="Arial" w:cs="Arial"/>
          <w:b/>
          <w:bCs/>
          <w:sz w:val="28"/>
          <w:szCs w:val="28"/>
          <w:lang w:val="en-US" w:eastAsia="ko-KR"/>
        </w:rPr>
        <w:tab/>
      </w:r>
      <w:r>
        <w:rPr>
          <w:rFonts w:ascii="Arial" w:hAnsi="Arial" w:cs="Arial"/>
          <w:b/>
          <w:bCs/>
          <w:sz w:val="28"/>
          <w:szCs w:val="28"/>
          <w:lang w:val="en-US" w:eastAsia="ko-KR"/>
        </w:rPr>
        <w:tab/>
      </w:r>
      <w:r>
        <w:rPr>
          <w:rFonts w:hint="eastAsia" w:ascii="Arial" w:hAnsi="Arial" w:cs="Arial"/>
          <w:b/>
          <w:bCs/>
          <w:sz w:val="28"/>
          <w:szCs w:val="28"/>
          <w:lang w:val="en-US" w:eastAsia="zh-CN"/>
        </w:rPr>
        <w:t xml:space="preserve">           </w:t>
      </w:r>
      <w:r>
        <w:rPr>
          <w:rFonts w:hint="eastAsia" w:ascii="Arial" w:hAnsi="Arial" w:cs="Arial"/>
          <w:b/>
          <w:bCs/>
          <w:sz w:val="28"/>
          <w:szCs w:val="28"/>
          <w:highlight w:val="none"/>
          <w:lang w:val="en-US" w:eastAsia="zh-CN"/>
        </w:rPr>
        <w:t xml:space="preserve"> </w:t>
      </w:r>
      <w:r>
        <w:rPr>
          <w:rFonts w:hint="eastAsia" w:ascii="Arial" w:hAnsi="Arial" w:eastAsia="Malgun Gothic" w:cs="Arial"/>
          <w:b/>
          <w:bCs/>
          <w:sz w:val="28"/>
          <w:szCs w:val="28"/>
          <w:highlight w:val="none"/>
          <w:lang w:val="en-US" w:eastAsia="ko-KR"/>
        </w:rPr>
        <w:t xml:space="preserve"> </w:t>
      </w:r>
      <w:r>
        <w:rPr>
          <w:rFonts w:hint="eastAsia" w:ascii="Arial" w:hAnsi="Arial" w:eastAsia="宋体" w:cs="Arial"/>
          <w:b/>
          <w:bCs/>
          <w:sz w:val="28"/>
          <w:szCs w:val="28"/>
          <w:highlight w:val="none"/>
          <w:lang w:val="en-US" w:eastAsia="zh-CN"/>
        </w:rPr>
        <w:t xml:space="preserve">   </w:t>
      </w:r>
      <w:r>
        <w:rPr>
          <w:rFonts w:ascii="Arial" w:hAnsi="Arial" w:cs="Arial"/>
          <w:b/>
          <w:bCs/>
          <w:sz w:val="28"/>
          <w:szCs w:val="28"/>
          <w:highlight w:val="none"/>
          <w:lang w:eastAsia="ko-KR"/>
        </w:rPr>
        <w:t>RP-25</w:t>
      </w:r>
      <w:r>
        <w:rPr>
          <w:rFonts w:hint="eastAsia" w:ascii="Arial" w:hAnsi="Arial" w:cs="Arial"/>
          <w:b/>
          <w:bCs/>
          <w:sz w:val="28"/>
          <w:szCs w:val="28"/>
          <w:highlight w:val="none"/>
          <w:lang w:val="en-US" w:eastAsia="zh-CN"/>
        </w:rPr>
        <w:t>2559</w:t>
      </w:r>
    </w:p>
    <w:p w14:paraId="47250E83">
      <w:pPr>
        <w:pStyle w:val="77"/>
        <w:spacing w:line="276" w:lineRule="auto"/>
        <w:rPr>
          <w:rFonts w:hint="eastAsia" w:ascii="Arial" w:hAnsi="Arial" w:eastAsia="Malgun Gothic" w:cs="Arial"/>
          <w:b/>
          <w:bCs/>
          <w:sz w:val="28"/>
          <w:szCs w:val="28"/>
          <w:lang w:val="sv-SE" w:eastAsia="ko-KR"/>
        </w:rPr>
      </w:pPr>
      <w:r>
        <w:rPr>
          <w:rFonts w:hint="eastAsia" w:ascii="Arial" w:hAnsi="Arial" w:eastAsia="Malgun Gothic" w:cs="Arial"/>
          <w:b/>
          <w:bCs/>
          <w:sz w:val="28"/>
          <w:szCs w:val="28"/>
          <w:lang w:val="sv-SE" w:eastAsia="ko-KR"/>
        </w:rPr>
        <w:t>Beijing</w:t>
      </w:r>
      <w:r>
        <w:rPr>
          <w:rFonts w:ascii="Arial" w:hAnsi="Arial" w:cs="Arial"/>
          <w:b/>
          <w:bCs/>
          <w:sz w:val="28"/>
          <w:szCs w:val="28"/>
          <w:lang w:val="sv-SE" w:eastAsia="ko-KR"/>
        </w:rPr>
        <w:t xml:space="preserve">, </w:t>
      </w:r>
      <w:r>
        <w:rPr>
          <w:rFonts w:hint="eastAsia" w:ascii="Arial" w:hAnsi="Arial" w:eastAsia="Malgun Gothic" w:cs="Arial"/>
          <w:b/>
          <w:bCs/>
          <w:sz w:val="28"/>
          <w:szCs w:val="28"/>
          <w:lang w:val="sv-SE" w:eastAsia="ko-KR"/>
        </w:rPr>
        <w:t>China</w:t>
      </w:r>
      <w:r>
        <w:rPr>
          <w:rFonts w:ascii="Arial" w:hAnsi="Arial" w:cs="Arial"/>
          <w:b/>
          <w:bCs/>
          <w:sz w:val="28"/>
          <w:szCs w:val="28"/>
          <w:lang w:val="sv-SE" w:eastAsia="ko-KR"/>
        </w:rPr>
        <w:t>, 15</w:t>
      </w:r>
      <w:r>
        <w:rPr>
          <w:rFonts w:hint="eastAsia" w:ascii="Arial" w:hAnsi="Arial" w:eastAsia="Malgun Gothic" w:cs="Arial"/>
          <w:b/>
          <w:bCs/>
          <w:sz w:val="28"/>
          <w:szCs w:val="28"/>
          <w:lang w:val="sv-SE" w:eastAsia="ko-KR"/>
        </w:rPr>
        <w:t xml:space="preserve"> - 18</w:t>
      </w:r>
      <w:r>
        <w:rPr>
          <w:rFonts w:ascii="Arial" w:hAnsi="Arial" w:cs="Arial"/>
          <w:b/>
          <w:bCs/>
          <w:sz w:val="28"/>
          <w:szCs w:val="28"/>
          <w:lang w:val="sv-SE" w:eastAsia="ko-KR"/>
        </w:rPr>
        <w:t xml:space="preserve"> </w:t>
      </w:r>
      <w:r>
        <w:rPr>
          <w:rFonts w:hint="eastAsia" w:ascii="Arial" w:hAnsi="Arial" w:eastAsia="Malgun Gothic" w:cs="Arial"/>
          <w:b/>
          <w:bCs/>
          <w:sz w:val="28"/>
          <w:szCs w:val="28"/>
          <w:lang w:val="sv-SE" w:eastAsia="ko-KR"/>
        </w:rPr>
        <w:t>September, 2025</w:t>
      </w:r>
    </w:p>
    <w:p w14:paraId="6169F1D5">
      <w:pPr>
        <w:pStyle w:val="77"/>
        <w:spacing w:line="276" w:lineRule="auto"/>
        <w:rPr>
          <w:rFonts w:ascii="Arial" w:hAnsi="Arial" w:cs="Arial"/>
          <w:b/>
          <w:bCs/>
          <w:sz w:val="28"/>
          <w:szCs w:val="28"/>
          <w:lang w:val="sv-SE"/>
        </w:rPr>
      </w:pPr>
    </w:p>
    <w:p w14:paraId="631C36FD">
      <w:pPr>
        <w:pStyle w:val="77"/>
        <w:spacing w:line="276" w:lineRule="auto"/>
        <w:rPr>
          <w:rFonts w:hint="eastAsia" w:ascii="Arial" w:hAnsi="Arial" w:eastAsia="等线" w:cs="Arial"/>
          <w:b/>
          <w:bCs/>
          <w:sz w:val="28"/>
          <w:szCs w:val="28"/>
          <w:lang w:val="en-US" w:eastAsia="zh-CN"/>
        </w:rPr>
      </w:pPr>
      <w:r>
        <w:rPr>
          <w:rFonts w:ascii="Arial" w:hAnsi="Arial" w:cs="Arial"/>
          <w:b/>
          <w:bCs/>
          <w:sz w:val="28"/>
          <w:szCs w:val="28"/>
          <w:lang w:val="sv-SE" w:eastAsia="ko-KR"/>
        </w:rPr>
        <w:t>Agenda Item:</w:t>
      </w:r>
      <w:bookmarkStart w:id="0" w:name="Source"/>
      <w:bookmarkEnd w:id="0"/>
      <w:r>
        <w:rPr>
          <w:rFonts w:ascii="Arial" w:hAnsi="Arial" w:cs="Arial"/>
          <w:b/>
          <w:bCs/>
          <w:sz w:val="28"/>
          <w:szCs w:val="28"/>
          <w:lang w:val="sv-SE" w:eastAsia="ko-KR"/>
        </w:rPr>
        <w:tab/>
      </w:r>
      <w:r>
        <w:rPr>
          <w:rFonts w:ascii="Arial" w:hAnsi="Arial" w:cs="Arial"/>
          <w:b/>
          <w:bCs/>
          <w:sz w:val="28"/>
          <w:szCs w:val="28"/>
          <w:lang w:val="sv-SE" w:eastAsia="ko-KR"/>
        </w:rPr>
        <w:t>9.6.</w:t>
      </w:r>
      <w:r>
        <w:rPr>
          <w:rFonts w:hint="eastAsia" w:ascii="Arial" w:hAnsi="Arial" w:cs="Arial"/>
          <w:b/>
          <w:bCs/>
          <w:sz w:val="28"/>
          <w:szCs w:val="28"/>
          <w:lang w:val="en-US" w:eastAsia="zh-CN"/>
        </w:rPr>
        <w:t>3</w:t>
      </w:r>
      <w:r>
        <w:rPr>
          <w:rFonts w:ascii="Arial" w:hAnsi="Arial" w:cs="Arial"/>
          <w:b/>
          <w:bCs/>
          <w:sz w:val="28"/>
          <w:szCs w:val="28"/>
          <w:lang w:val="sv-SE" w:eastAsia="ko-KR"/>
        </w:rPr>
        <w:t>.</w:t>
      </w:r>
      <w:r>
        <w:rPr>
          <w:rFonts w:hint="eastAsia" w:ascii="Arial" w:hAnsi="Arial" w:cs="Arial"/>
          <w:b/>
          <w:bCs/>
          <w:sz w:val="28"/>
          <w:szCs w:val="28"/>
          <w:lang w:val="en-US" w:eastAsia="zh-CN"/>
        </w:rPr>
        <w:t>1</w:t>
      </w:r>
    </w:p>
    <w:p w14:paraId="51243A87">
      <w:pPr>
        <w:pStyle w:val="77"/>
        <w:spacing w:line="276" w:lineRule="auto"/>
        <w:rPr>
          <w:rFonts w:hint="default" w:ascii="Arial" w:hAnsi="Arial" w:eastAsia="等线" w:cs="Arial"/>
          <w:b/>
          <w:bCs/>
          <w:sz w:val="28"/>
          <w:szCs w:val="28"/>
          <w:lang w:val="en-US" w:eastAsia="zh-CN"/>
        </w:rPr>
      </w:pPr>
      <w:r>
        <w:rPr>
          <w:rFonts w:ascii="Arial" w:hAnsi="Arial" w:cs="Arial"/>
          <w:b/>
          <w:bCs/>
          <w:sz w:val="28"/>
          <w:szCs w:val="28"/>
          <w:lang w:val="sv-SE" w:eastAsia="ko-KR"/>
        </w:rPr>
        <w:t>Source:</w:t>
      </w:r>
      <w:r>
        <w:rPr>
          <w:rFonts w:ascii="Arial" w:hAnsi="Arial" w:cs="Arial"/>
          <w:b/>
          <w:bCs/>
          <w:sz w:val="28"/>
          <w:szCs w:val="28"/>
          <w:lang w:val="sv-SE" w:eastAsia="ko-KR"/>
        </w:rPr>
        <w:tab/>
      </w:r>
      <w:r>
        <w:rPr>
          <w:rFonts w:ascii="Arial" w:hAnsi="Arial" w:cs="Arial"/>
          <w:b/>
          <w:bCs/>
          <w:sz w:val="28"/>
          <w:szCs w:val="28"/>
          <w:lang w:val="sv-SE" w:eastAsia="ko-KR"/>
        </w:rPr>
        <w:tab/>
      </w:r>
      <w:r>
        <w:rPr>
          <w:rFonts w:ascii="Arial" w:hAnsi="Arial" w:cs="Arial"/>
          <w:b/>
          <w:bCs/>
          <w:sz w:val="28"/>
          <w:szCs w:val="28"/>
          <w:lang w:val="sv-SE" w:eastAsia="ko-KR"/>
        </w:rPr>
        <w:tab/>
      </w:r>
      <w:r>
        <w:rPr>
          <w:rFonts w:hint="eastAsia" w:ascii="Arial" w:hAnsi="Arial" w:cs="Arial"/>
          <w:b/>
          <w:bCs/>
          <w:sz w:val="28"/>
          <w:szCs w:val="28"/>
          <w:lang w:val="en-US" w:eastAsia="zh-CN"/>
        </w:rPr>
        <w:t>China Unicom, CMCC</w:t>
      </w:r>
    </w:p>
    <w:p w14:paraId="4EC52E65">
      <w:pPr>
        <w:pStyle w:val="77"/>
        <w:spacing w:line="276" w:lineRule="auto"/>
        <w:rPr>
          <w:rFonts w:ascii="Arial" w:hAnsi="Arial" w:cs="Arial"/>
          <w:b/>
          <w:bCs/>
          <w:sz w:val="28"/>
          <w:szCs w:val="28"/>
          <w:lang w:val="sv-SE" w:eastAsia="ko-KR"/>
        </w:rPr>
      </w:pPr>
      <w:r>
        <w:rPr>
          <w:rFonts w:ascii="Arial" w:hAnsi="Arial" w:cs="Arial"/>
          <w:b/>
          <w:bCs/>
          <w:sz w:val="28"/>
          <w:szCs w:val="28"/>
          <w:lang w:val="sv-SE" w:eastAsia="ko-KR"/>
        </w:rPr>
        <w:t>Title:</w:t>
      </w:r>
      <w:r>
        <w:rPr>
          <w:rFonts w:ascii="Arial" w:hAnsi="Arial" w:cs="Arial"/>
          <w:b/>
          <w:bCs/>
          <w:sz w:val="28"/>
          <w:szCs w:val="28"/>
          <w:lang w:val="sv-SE" w:eastAsia="ko-KR"/>
        </w:rPr>
        <w:tab/>
      </w:r>
      <w:r>
        <w:rPr>
          <w:rFonts w:ascii="Arial" w:hAnsi="Arial" w:cs="Arial"/>
          <w:b/>
          <w:bCs/>
          <w:sz w:val="28"/>
          <w:szCs w:val="28"/>
          <w:lang w:val="sv-SE" w:eastAsia="ko-KR"/>
        </w:rPr>
        <w:tab/>
      </w:r>
      <w:r>
        <w:rPr>
          <w:rFonts w:ascii="Arial" w:hAnsi="Arial" w:cs="Arial"/>
          <w:b/>
          <w:bCs/>
          <w:sz w:val="28"/>
          <w:szCs w:val="28"/>
          <w:lang w:val="sv-SE" w:eastAsia="ko-KR"/>
        </w:rPr>
        <w:tab/>
      </w:r>
      <w:r>
        <w:rPr>
          <w:rFonts w:hint="eastAsia" w:ascii="Arial" w:hAnsi="Arial" w:cs="Arial"/>
          <w:b/>
          <w:bCs/>
          <w:sz w:val="28"/>
          <w:szCs w:val="28"/>
          <w:lang w:val="sv-SE" w:eastAsia="ko-KR"/>
        </w:rPr>
        <w:t>W</w:t>
      </w:r>
      <w:r>
        <w:rPr>
          <w:rFonts w:ascii="Arial" w:hAnsi="Arial" w:cs="Arial"/>
          <w:b/>
          <w:bCs/>
          <w:sz w:val="28"/>
          <w:szCs w:val="28"/>
          <w:lang w:val="sv-SE" w:eastAsia="ko-KR"/>
        </w:rPr>
        <w:t>I Summ</w:t>
      </w:r>
      <w:r>
        <w:rPr>
          <w:rFonts w:hint="eastAsia" w:ascii="Arial" w:hAnsi="Arial" w:cs="Arial"/>
          <w:b/>
          <w:bCs/>
          <w:sz w:val="28"/>
          <w:szCs w:val="28"/>
          <w:lang w:val="en-US" w:eastAsia="zh-CN"/>
        </w:rPr>
        <w:t>ary</w:t>
      </w:r>
      <w:r>
        <w:rPr>
          <w:rFonts w:ascii="Arial" w:hAnsi="Arial" w:cs="Arial"/>
          <w:b/>
          <w:bCs/>
          <w:sz w:val="28"/>
          <w:szCs w:val="28"/>
          <w:lang w:val="sv-SE" w:eastAsia="ko-KR"/>
        </w:rPr>
        <w:t xml:space="preserve"> </w:t>
      </w:r>
      <w:r>
        <w:rPr>
          <w:rFonts w:hint="eastAsia" w:ascii="Arial" w:hAnsi="Arial" w:cs="Arial"/>
          <w:b/>
          <w:bCs/>
          <w:sz w:val="28"/>
          <w:szCs w:val="28"/>
          <w:lang w:val="en-US" w:eastAsia="zh-CN"/>
        </w:rPr>
        <w:t xml:space="preserve">for  Data collection for SON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(Self-Organising Networks)/MDT (Minimization of Drive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Tests) in NR standalone and MR-DC (Multi-Radio Dual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Connectivity) Phase 4</w:t>
      </w:r>
    </w:p>
    <w:p w14:paraId="43540457">
      <w:pPr>
        <w:pStyle w:val="77"/>
        <w:spacing w:line="276" w:lineRule="auto"/>
        <w:rPr>
          <w:rFonts w:ascii="Arial" w:hAnsi="Arial" w:cs="Arial"/>
          <w:b/>
          <w:bCs/>
          <w:sz w:val="28"/>
          <w:szCs w:val="28"/>
          <w:lang w:val="sv-SE" w:eastAsia="ko-KR"/>
        </w:rPr>
      </w:pPr>
      <w:r>
        <w:rPr>
          <w:rFonts w:ascii="Arial" w:hAnsi="Arial" w:cs="Arial"/>
          <w:b/>
          <w:bCs/>
          <w:sz w:val="28"/>
          <w:szCs w:val="28"/>
          <w:lang w:val="sv-SE" w:eastAsia="ko-KR"/>
        </w:rPr>
        <w:t>WI code(s):</w:t>
      </w:r>
      <w:r>
        <w:rPr>
          <w:rFonts w:ascii="Arial" w:hAnsi="Arial" w:cs="Arial"/>
          <w:b/>
          <w:bCs/>
          <w:sz w:val="28"/>
          <w:szCs w:val="28"/>
          <w:lang w:val="sv-SE" w:eastAsia="ko-KR"/>
        </w:rPr>
        <w:tab/>
      </w:r>
      <w:r>
        <w:rPr>
          <w:rFonts w:ascii="Arial" w:hAnsi="Arial" w:cs="Arial"/>
          <w:b/>
          <w:bCs/>
          <w:sz w:val="28"/>
          <w:szCs w:val="28"/>
          <w:lang w:val="sv-SE" w:eastAsia="ko-KR"/>
        </w:rPr>
        <w:tab/>
      </w:r>
      <w:r>
        <w:rPr>
          <w:rFonts w:ascii="Arial" w:hAnsi="Arial" w:cs="Arial"/>
          <w:b/>
          <w:bCs/>
          <w:sz w:val="28"/>
          <w:szCs w:val="28"/>
          <w:lang w:val="sv-SE" w:eastAsia="ko-KR"/>
        </w:rPr>
        <w:t>NR_ENDC_SON_MDT_Ph4-Core</w:t>
      </w:r>
    </w:p>
    <w:p w14:paraId="7C721BE9">
      <w:pPr>
        <w:pStyle w:val="77"/>
        <w:spacing w:line="276" w:lineRule="auto"/>
        <w:rPr>
          <w:rFonts w:hint="eastAsia" w:ascii="Arial" w:hAnsi="Arial" w:eastAsia="等线" w:cs="Arial"/>
          <w:b/>
          <w:bCs/>
          <w:sz w:val="28"/>
          <w:szCs w:val="28"/>
          <w:lang w:val="en-US" w:eastAsia="zh-CN"/>
        </w:rPr>
      </w:pPr>
      <w:r>
        <w:rPr>
          <w:rFonts w:ascii="Arial" w:hAnsi="Arial" w:cs="Arial"/>
          <w:b/>
          <w:bCs/>
          <w:sz w:val="28"/>
          <w:szCs w:val="28"/>
          <w:lang w:val="sv-SE" w:eastAsia="ko-KR"/>
        </w:rPr>
        <w:t>leading WG:</w:t>
      </w:r>
      <w:r>
        <w:rPr>
          <w:rFonts w:ascii="Arial" w:hAnsi="Arial" w:cs="Arial"/>
          <w:b/>
          <w:bCs/>
          <w:sz w:val="28"/>
          <w:szCs w:val="28"/>
          <w:lang w:val="sv-SE" w:eastAsia="ko-KR"/>
        </w:rPr>
        <w:tab/>
      </w:r>
      <w:r>
        <w:rPr>
          <w:rFonts w:ascii="Arial" w:hAnsi="Arial" w:cs="Arial"/>
          <w:b/>
          <w:bCs/>
          <w:sz w:val="28"/>
          <w:szCs w:val="28"/>
          <w:lang w:val="sv-SE" w:eastAsia="ko-KR"/>
        </w:rPr>
        <w:tab/>
      </w:r>
      <w:r>
        <w:rPr>
          <w:rFonts w:ascii="Arial" w:hAnsi="Arial" w:cs="Arial"/>
          <w:b/>
          <w:bCs/>
          <w:sz w:val="28"/>
          <w:szCs w:val="28"/>
          <w:lang w:val="sv-SE" w:eastAsia="ko-KR"/>
        </w:rPr>
        <w:t>RAN WG</w:t>
      </w:r>
      <w:r>
        <w:rPr>
          <w:rFonts w:hint="eastAsia" w:ascii="Arial" w:hAnsi="Arial" w:cs="Arial"/>
          <w:b/>
          <w:bCs/>
          <w:sz w:val="28"/>
          <w:szCs w:val="28"/>
          <w:lang w:val="en-US" w:eastAsia="zh-CN"/>
        </w:rPr>
        <w:t>3</w:t>
      </w:r>
    </w:p>
    <w:p w14:paraId="6630A795">
      <w:pPr>
        <w:pStyle w:val="77"/>
        <w:spacing w:line="276" w:lineRule="auto"/>
        <w:rPr>
          <w:rFonts w:hint="eastAsia" w:ascii="Arial" w:hAnsi="Arial" w:eastAsia="Malgun Gothic" w:cs="Arial"/>
          <w:b/>
          <w:bCs/>
          <w:sz w:val="28"/>
          <w:szCs w:val="28"/>
          <w:lang w:val="sv-SE" w:eastAsia="ko-KR"/>
        </w:rPr>
      </w:pPr>
      <w:r>
        <w:rPr>
          <w:rFonts w:ascii="Arial" w:hAnsi="Arial" w:cs="Arial"/>
          <w:b/>
          <w:bCs/>
          <w:sz w:val="28"/>
          <w:szCs w:val="28"/>
          <w:lang w:val="sv-SE" w:eastAsia="ko-KR"/>
        </w:rPr>
        <w:t>Release:</w:t>
      </w:r>
      <w:r>
        <w:rPr>
          <w:rFonts w:ascii="Arial" w:hAnsi="Arial" w:cs="Arial"/>
          <w:b/>
          <w:bCs/>
          <w:sz w:val="28"/>
          <w:szCs w:val="28"/>
          <w:lang w:val="sv-SE" w:eastAsia="ko-KR"/>
        </w:rPr>
        <w:tab/>
      </w:r>
      <w:r>
        <w:rPr>
          <w:rFonts w:ascii="Arial" w:hAnsi="Arial" w:cs="Arial"/>
          <w:b/>
          <w:bCs/>
          <w:sz w:val="28"/>
          <w:szCs w:val="28"/>
          <w:lang w:val="sv-SE" w:eastAsia="ko-KR"/>
        </w:rPr>
        <w:tab/>
      </w:r>
      <w:r>
        <w:rPr>
          <w:rFonts w:ascii="Arial" w:hAnsi="Arial" w:cs="Arial"/>
          <w:b/>
          <w:bCs/>
          <w:sz w:val="28"/>
          <w:szCs w:val="28"/>
          <w:lang w:val="sv-SE" w:eastAsia="ko-KR"/>
        </w:rPr>
        <w:t>Rel-1</w:t>
      </w:r>
      <w:r>
        <w:rPr>
          <w:rFonts w:hint="eastAsia" w:ascii="Arial" w:hAnsi="Arial" w:eastAsia="Malgun Gothic" w:cs="Arial"/>
          <w:b/>
          <w:bCs/>
          <w:sz w:val="28"/>
          <w:szCs w:val="28"/>
          <w:lang w:val="sv-SE" w:eastAsia="ko-KR"/>
        </w:rPr>
        <w:t>9</w:t>
      </w:r>
    </w:p>
    <w:p w14:paraId="5D8C333B">
      <w:pPr>
        <w:pStyle w:val="3"/>
        <w:rPr>
          <w:rFonts w:eastAsia="Malgun Gothic"/>
        </w:rPr>
      </w:pPr>
      <w:r>
        <w:rPr>
          <w:rFonts w:eastAsia="Malgun Gothic"/>
        </w:rPr>
        <w:t>1</w:t>
      </w:r>
      <w:r>
        <w:rPr>
          <w:rFonts w:eastAsia="Malgun Gothic"/>
        </w:rPr>
        <w:tab/>
      </w:r>
      <w:r>
        <w:rPr>
          <w:rFonts w:eastAsia="Malgun Gothic"/>
        </w:rPr>
        <w:t>Introduction</w:t>
      </w:r>
    </w:p>
    <w:p w14:paraId="45DB4FE8">
      <w:pPr>
        <w:spacing w:line="360" w:lineRule="auto"/>
        <w:rPr>
          <w:rFonts w:hint="eastAsia" w:eastAsia="Malgun Gothic"/>
          <w:lang w:eastAsia="ko-KR"/>
        </w:rPr>
      </w:pPr>
      <w:r>
        <w:t xml:space="preserve">This WI specified </w:t>
      </w:r>
      <w:r>
        <w:rPr>
          <w:rFonts w:hint="eastAsia"/>
          <w:lang w:val="en-US" w:eastAsia="zh-CN"/>
        </w:rPr>
        <w:t xml:space="preserve">further NR SON/MDT enhancement, supporting </w:t>
      </w:r>
      <w:r>
        <w:rPr>
          <w:lang w:eastAsia="zh-CN"/>
        </w:rPr>
        <w:t>Mobility Robustness Optimisation</w:t>
      </w:r>
      <w:r>
        <w:rPr>
          <w:rFonts w:hint="eastAsia"/>
          <w:lang w:val="en-US" w:eastAsia="zh-CN"/>
        </w:rPr>
        <w:t xml:space="preserve"> (MRO) enhancement for intra-CU Lower layer triggered mobility (LTM), MRO enhancement for CHO with candidate SCGs, MRO enhancement for subsequent CPAC, SON/MDT enhancements for intra-NTN mobility, SON/MDT enhancements for Network Slicing, </w:t>
      </w:r>
      <w:bookmarkStart w:id="1" w:name="OLE_LINK1"/>
      <w:r>
        <w:rPr>
          <w:rFonts w:hint="eastAsia"/>
          <w:lang w:val="en-US" w:eastAsia="zh-CN"/>
        </w:rPr>
        <w:t>RACH optimization for SDT, MHI enhancement for SCG Deactivation/Activation, MRO for MR-DC SCG failure.</w:t>
      </w:r>
    </w:p>
    <w:bookmarkEnd w:id="1"/>
    <w:p w14:paraId="6FE504CB">
      <w:pPr>
        <w:pStyle w:val="3"/>
        <w:rPr>
          <w:rFonts w:eastAsia="Malgun Gothic"/>
        </w:rPr>
      </w:pPr>
      <w:r>
        <w:rPr>
          <w:rFonts w:eastAsia="Malgun Gothic"/>
        </w:rPr>
        <w:t>2</w:t>
      </w:r>
      <w:r>
        <w:rPr>
          <w:rFonts w:eastAsia="Malgun Gothic"/>
        </w:rPr>
        <w:tab/>
      </w:r>
      <w:r>
        <w:rPr>
          <w:rFonts w:eastAsia="Malgun Gothic"/>
        </w:rPr>
        <w:t>Description</w:t>
      </w:r>
    </w:p>
    <w:p w14:paraId="0207BBD1">
      <w:pPr>
        <w:rPr>
          <w:rFonts w:hint="eastAsia" w:eastAsia="宋体"/>
          <w:lang w:val="en-US" w:eastAsia="zh-CN"/>
        </w:rPr>
      </w:pPr>
      <w:r>
        <w:rPr>
          <w:rFonts w:hint="eastAsia" w:eastAsia="宋体"/>
          <w:lang w:eastAsia="zh-CN"/>
        </w:rPr>
        <w:t>The key functionalities of this WI are described as below</w:t>
      </w:r>
      <w:r>
        <w:rPr>
          <w:rFonts w:hint="eastAsia" w:eastAsia="宋体"/>
          <w:lang w:val="en-US" w:eastAsia="zh-CN"/>
        </w:rPr>
        <w:t>.</w:t>
      </w:r>
    </w:p>
    <w:p w14:paraId="12187E07">
      <w:pPr>
        <w:rPr>
          <w:rFonts w:hint="eastAsia"/>
          <w:b/>
          <w:bCs/>
          <w:u w:val="single"/>
          <w:lang w:val="en-US" w:eastAsia="zh-CN"/>
        </w:rPr>
      </w:pPr>
      <w:r>
        <w:rPr>
          <w:rFonts w:hint="eastAsia"/>
          <w:b/>
          <w:bCs/>
          <w:u w:val="single"/>
          <w:lang w:val="en-US" w:eastAsia="zh-CN"/>
        </w:rPr>
        <w:t>MRO enhancement for intra-CU LTM</w:t>
      </w:r>
    </w:p>
    <w:p w14:paraId="4FBC3E7A">
      <w:pPr>
        <w:pStyle w:val="2"/>
        <w:spacing w:line="240" w:lineRule="auto"/>
        <w:rPr>
          <w:rFonts w:hint="eastAsia"/>
          <w:lang w:val="en-US" w:eastAsia="zh-CN"/>
        </w:rPr>
      </w:pPr>
      <w:r>
        <w:rPr>
          <w:rFonts w:hint="eastAsia"/>
          <w:b w:val="0"/>
          <w:bCs w:val="0"/>
          <w:u w:val="none"/>
          <w:lang w:val="en-US" w:eastAsia="zh-CN"/>
        </w:rPr>
        <w:t xml:space="preserve">MRO for intra-CU LTM failure is to detect intra-CU LTM cell switch failures that occur due to </w:t>
      </w:r>
      <w:r>
        <w:rPr>
          <w:rFonts w:hint="eastAsia"/>
        </w:rPr>
        <w:t xml:space="preserve">Too Late LTM cell switch, </w:t>
      </w:r>
      <w:r>
        <w:rPr>
          <w:rFonts w:hint="eastAsia"/>
          <w:lang w:val="en-US" w:eastAsia="zh-CN"/>
        </w:rPr>
        <w:t xml:space="preserve">or </w:t>
      </w:r>
      <w:r>
        <w:rPr>
          <w:rFonts w:hint="eastAsia"/>
        </w:rPr>
        <w:t>Too Early LTM cell switch</w:t>
      </w:r>
      <w:r>
        <w:rPr>
          <w:rFonts w:hint="eastAsia"/>
          <w:lang w:val="en-US" w:eastAsia="zh-CN"/>
        </w:rPr>
        <w:t>, or</w:t>
      </w:r>
      <w:r>
        <w:rPr>
          <w:rFonts w:hint="eastAsia"/>
        </w:rPr>
        <w:t xml:space="preserve"> LTM cell switch to Wrong Cell</w:t>
      </w:r>
      <w:r>
        <w:rPr>
          <w:rFonts w:hint="eastAsia"/>
          <w:lang w:val="en-US" w:eastAsia="zh-CN"/>
        </w:rPr>
        <w:t>. In case of failures due to inappropriate cell switch triggering or wrong target cell selection for LTM cell switch, the gNB-CU forwards the RLF report, which is associated to an LTM mobility event from the UE or via the Failure indication message over Xn, to the last serving gNB-DU in case of too late LTM cell switch, or to the source gNB-DU in case of too early LTM cell switch or LTM cell switch to wrong cell.</w:t>
      </w:r>
    </w:p>
    <w:p w14:paraId="1E215ECB">
      <w:pPr>
        <w:rPr>
          <w:rFonts w:hint="default"/>
          <w:highlight w:val="none"/>
          <w:lang w:val="en-US" w:eastAsia="zh-CN"/>
        </w:rPr>
      </w:pPr>
      <w:r>
        <w:rPr>
          <w:rFonts w:hint="eastAsia"/>
          <w:highlight w:val="none"/>
          <w:lang w:val="en-US" w:eastAsia="zh-CN"/>
        </w:rPr>
        <w:t xml:space="preserve">Additionally, there are 3 MRO LTM use cases supported over F1 interface, including Beam Failure Recovery (BFR) after successful LTM Cell Switch to wrong beam(case 1), RACH-less LTM Cell Switch failure due to wrong beam (case 2), and Cell Switch failure due to outdated </w:t>
      </w:r>
      <w:r>
        <w:rPr>
          <w:rFonts w:hint="eastAsia" w:eastAsia="宋体"/>
          <w:highlight w:val="none"/>
          <w:lang w:val="en-US" w:eastAsia="zh-CN"/>
        </w:rPr>
        <w:t>Timing Advance(</w:t>
      </w:r>
      <w:r>
        <w:rPr>
          <w:rFonts w:hint="eastAsia"/>
          <w:highlight w:val="none"/>
          <w:lang w:val="en-US" w:eastAsia="zh-CN"/>
        </w:rPr>
        <w:t>TA) (case 3). For case1, the gNB-DU can do optimisation of target beam selection based on the information of SSB Index of the recovery beam used at successful Beam Failure Recovery. For case2, the gNB-DU can do optimisation of target beam selection or TA related parameters based on the information of SSB Index of the re-established or recovery beam after LTM Cell Switch Failure. For case3, t</w:t>
      </w:r>
      <w:r>
        <w:rPr>
          <w:rFonts w:hint="eastAsia" w:eastAsia="宋体"/>
          <w:highlight w:val="none"/>
          <w:lang w:val="en-US" w:eastAsia="zh-CN"/>
        </w:rPr>
        <w:t xml:space="preserve">he gNB-DU can </w:t>
      </w:r>
      <w:r>
        <w:rPr>
          <w:rFonts w:hint="eastAsia"/>
          <w:highlight w:val="none"/>
          <w:lang w:val="en-US" w:eastAsia="zh-CN"/>
        </w:rPr>
        <w:t xml:space="preserve">optimise </w:t>
      </w:r>
      <w:r>
        <w:rPr>
          <w:rFonts w:hint="eastAsia" w:eastAsia="宋体"/>
          <w:highlight w:val="none"/>
          <w:lang w:val="en-US" w:eastAsia="zh-CN"/>
        </w:rPr>
        <w:t>TA</w:t>
      </w:r>
      <w:r>
        <w:rPr>
          <w:rFonts w:eastAsia="Yu Mincho"/>
          <w:highlight w:val="none"/>
        </w:rPr>
        <w:t xml:space="preserve"> related parameters</w:t>
      </w:r>
      <w:r>
        <w:rPr>
          <w:rFonts w:hint="eastAsia" w:eastAsia="宋体"/>
          <w:highlight w:val="none"/>
          <w:lang w:val="en-US" w:eastAsia="zh-CN"/>
        </w:rPr>
        <w:t xml:space="preserve"> or </w:t>
      </w:r>
      <w:r>
        <w:rPr>
          <w:rFonts w:hint="eastAsia"/>
          <w:highlight w:val="none"/>
          <w:lang w:val="en-US" w:eastAsia="zh-CN"/>
        </w:rPr>
        <w:t xml:space="preserve">target beam selection </w:t>
      </w:r>
      <w:r>
        <w:rPr>
          <w:rFonts w:hint="eastAsia" w:eastAsia="宋体"/>
          <w:highlight w:val="none"/>
          <w:lang w:val="en-US" w:eastAsia="zh-CN"/>
        </w:rPr>
        <w:t>based on the information of TA value used at successful Random Access during LTM recovery or re-establishment after a Cell Switch failure in same cell.</w:t>
      </w:r>
    </w:p>
    <w:p w14:paraId="1F0B2681">
      <w:pPr>
        <w:pStyle w:val="2"/>
        <w:spacing w:line="240" w:lineRule="auto"/>
        <w:rPr>
          <w:rFonts w:hint="eastAsia" w:ascii="Times New Roman" w:hAnsi="Times New Roman" w:cs="Times New Roman"/>
          <w:b w:val="0"/>
          <w:bCs w:val="0"/>
          <w:u w:val="none"/>
          <w:lang w:val="en-US" w:eastAsia="zh-CN"/>
        </w:rPr>
      </w:pPr>
      <w:r>
        <w:rPr>
          <w:rFonts w:hint="eastAsia"/>
          <w:highlight w:val="none"/>
          <w:lang w:val="en-US" w:eastAsia="zh-CN"/>
        </w:rPr>
        <w:t xml:space="preserve">The target gNB-DU identifies that a Beam Failure Recovery (BFR) happened in UE side after a successful LTM cell switch by detecting that a time gap between the successful LTM cell switch and the BFR in the same cell is smaller than the configured threshold (e.g. Tstore_UE_cntxt). The target gNB-DU performs initial analysis and </w:t>
      </w:r>
      <w:r>
        <w:rPr>
          <w:rFonts w:hint="eastAsia"/>
          <w:lang w:val="en-US" w:eastAsia="zh-CN"/>
        </w:rPr>
        <w:t xml:space="preserve">sends the recovery </w:t>
      </w:r>
      <w:r>
        <w:rPr>
          <w:rFonts w:hint="eastAsia" w:ascii="Times New Roman" w:hAnsi="Times New Roman" w:cs="Times New Roman"/>
          <w:b w:val="0"/>
          <w:bCs w:val="0"/>
          <w:u w:val="none"/>
          <w:lang w:val="en-US" w:eastAsia="zh-CN"/>
        </w:rPr>
        <w:t>beam information to the source gNB-DU via the gNB-CU.</w:t>
      </w:r>
    </w:p>
    <w:p w14:paraId="1557BBD3">
      <w:pPr>
        <w:pStyle w:val="2"/>
        <w:spacing w:line="240" w:lineRule="auto"/>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The target gNB-DU identifies that the UE successfully performs a RACH-based access while re-establishing or recovering to the same target cell. The target gNB-DU sends the re-established or recovery beam information, the TA value used at successful RACH-based access, or both to the source gNB-DU via the gNB-CU. </w:t>
      </w:r>
    </w:p>
    <w:p w14:paraId="530DE7A6">
      <w:pPr>
        <w:pStyle w:val="2"/>
        <w:spacing w:line="240" w:lineRule="auto"/>
        <w:rPr>
          <w:rFonts w:hint="default"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The gNB-CU is responsible for detecting LTM ping-pong issue, and gNB-CU sends relevant information to the gNB-DU whenever gNB-CU decides this is necessary with last consecutive LTM cell switch entries to the gNB-DU. Then the gNB-DU can be able to resolve LTM ping-pong based on the LTM </w:t>
      </w:r>
      <w:r>
        <w:rPr>
          <w:rFonts w:hint="eastAsia"/>
          <w:lang w:val="en-US" w:eastAsia="zh-CN"/>
        </w:rPr>
        <w:t>UE History Information(</w:t>
      </w:r>
      <w:r>
        <w:rPr>
          <w:rFonts w:hint="eastAsia" w:ascii="Times New Roman" w:hAnsi="Times New Roman" w:cs="Times New Roman"/>
          <w:b w:val="0"/>
          <w:bCs w:val="0"/>
          <w:u w:val="none"/>
          <w:lang w:val="en-US" w:eastAsia="zh-CN"/>
        </w:rPr>
        <w:t>UHI) information.</w:t>
      </w:r>
    </w:p>
    <w:p w14:paraId="0B7BFA58">
      <w:pPr>
        <w:pStyle w:val="2"/>
        <w:spacing w:line="240" w:lineRule="auto"/>
        <w:rPr>
          <w:rFonts w:hint="eastAsia"/>
          <w:b/>
          <w:bCs/>
          <w:u w:val="single"/>
          <w:lang w:val="en-US" w:eastAsia="zh-CN"/>
        </w:rPr>
      </w:pPr>
      <w:r>
        <w:rPr>
          <w:rFonts w:hint="eastAsia"/>
          <w:b/>
          <w:bCs/>
          <w:u w:val="single"/>
          <w:lang w:val="en-US" w:eastAsia="zh-CN"/>
        </w:rPr>
        <w:t>MRO enhancement for CHO with candidate SCGs</w:t>
      </w:r>
    </w:p>
    <w:p w14:paraId="61FD7FEE">
      <w:pPr>
        <w:pStyle w:val="2"/>
        <w:spacing w:line="240" w:lineRule="auto"/>
        <w:rPr>
          <w:rFonts w:hint="eastAsia" w:ascii="Times New Roman" w:hAnsi="Times New Roman" w:cs="Times New Roman"/>
          <w:b w:val="0"/>
          <w:bCs w:val="0"/>
          <w:u w:val="none"/>
          <w:lang w:val="en-US" w:eastAsia="zh-CN"/>
        </w:rPr>
      </w:pPr>
      <w:r>
        <w:rPr>
          <w:rFonts w:hint="eastAsia"/>
          <w:b w:val="0"/>
          <w:bCs w:val="0"/>
          <w:u w:val="none"/>
          <w:lang w:val="en-US" w:eastAsia="zh-CN"/>
        </w:rPr>
        <w:t xml:space="preserve">MRO for CHO with candidate SCGs is to detect connection failures that occur due to </w:t>
      </w:r>
      <w:r>
        <w:rPr>
          <w:rFonts w:hint="eastAsia"/>
          <w:lang w:val="en-US" w:eastAsia="zh-CN"/>
        </w:rPr>
        <w:t xml:space="preserve">Too Late CHO with candidate </w:t>
      </w:r>
      <w:r>
        <w:rPr>
          <w:rFonts w:hint="eastAsia" w:ascii="Times New Roman" w:hAnsi="Times New Roman" w:cs="Times New Roman"/>
          <w:b w:val="0"/>
          <w:bCs w:val="0"/>
          <w:u w:val="none"/>
          <w:lang w:val="en-US" w:eastAsia="zh-CN"/>
        </w:rPr>
        <w:t>SCG(s), Too Early CHO with candidate SCG and CHO Execution to Wrong Cell.</w:t>
      </w:r>
    </w:p>
    <w:p w14:paraId="3BFAAF75">
      <w:pPr>
        <w:pStyle w:val="2"/>
        <w:spacing w:line="240" w:lineRule="auto"/>
        <w:rPr>
          <w:rFonts w:hint="default"/>
          <w:lang w:val="en-US" w:eastAsia="zh-CN"/>
        </w:rPr>
      </w:pPr>
      <w:r>
        <w:rPr>
          <w:rFonts w:hint="eastAsia" w:ascii="Times New Roman" w:hAnsi="Times New Roman" w:cs="Times New Roman"/>
          <w:b w:val="0"/>
          <w:bCs w:val="0"/>
          <w:u w:val="none"/>
          <w:lang w:val="en-US" w:eastAsia="zh-CN"/>
        </w:rPr>
        <w:t xml:space="preserve">In case of Too Late Handover when UE is configured with CHO with candidate SCG(s), the NG-RAN node receiving the failure indication may send a Handover Report over Xn to the candidate NG-RAN node(s) in order to control the candidate PSCell(s) whose mobility configuration caused the failure. </w:t>
      </w:r>
    </w:p>
    <w:p w14:paraId="5E42E363">
      <w:pPr>
        <w:spacing w:line="240" w:lineRule="auto"/>
        <w:rPr>
          <w:rFonts w:hint="default"/>
          <w:lang w:val="en-US" w:eastAsia="zh-CN"/>
        </w:rPr>
      </w:pPr>
      <w:r>
        <w:rPr>
          <w:rFonts w:hint="default"/>
          <w:lang w:val="en-US" w:eastAsia="zh-CN"/>
        </w:rPr>
        <w:t>In case of Too Early Handover or Handover to Wrong Cell</w:t>
      </w:r>
      <w:r>
        <w:rPr>
          <w:rFonts w:hint="eastAsia"/>
          <w:lang w:val="en-US" w:eastAsia="zh-CN"/>
        </w:rPr>
        <w:t xml:space="preserve"> </w:t>
      </w:r>
      <w:r>
        <w:rPr>
          <w:rFonts w:hint="eastAsia" w:ascii="Times New Roman" w:hAnsi="Times New Roman" w:cs="Times New Roman"/>
          <w:b w:val="0"/>
          <w:bCs w:val="0"/>
          <w:u w:val="none"/>
          <w:lang w:val="en-US" w:eastAsia="zh-CN"/>
        </w:rPr>
        <w:t>when UE is configured with CHO with candidate SCG(s)</w:t>
      </w:r>
      <w:r>
        <w:rPr>
          <w:rFonts w:hint="default"/>
          <w:lang w:val="en-US" w:eastAsia="zh-CN"/>
        </w:rPr>
        <w:t xml:space="preserve">, the NG-RAN node receiving the failure indication may inform the NG-RAN node </w:t>
      </w:r>
      <w:r>
        <w:rPr>
          <w:rFonts w:hint="eastAsia"/>
          <w:lang w:val="en-US" w:eastAsia="zh-CN"/>
        </w:rPr>
        <w:t xml:space="preserve">to </w:t>
      </w:r>
      <w:r>
        <w:rPr>
          <w:rFonts w:hint="default"/>
          <w:lang w:val="en-US" w:eastAsia="zh-CN"/>
        </w:rPr>
        <w:t>control the cell where the mobility configuration caused the failure by means of the Handover Report procedure over Xn or Uplink RAN Configuration Transfer procedure over NG. This may include the</w:t>
      </w:r>
      <w:r>
        <w:rPr>
          <w:rFonts w:hint="eastAsia"/>
          <w:lang w:val="en-US" w:eastAsia="zh-CN"/>
        </w:rPr>
        <w:t xml:space="preserve"> </w:t>
      </w:r>
      <w:r>
        <w:rPr>
          <w:rFonts w:hint="default"/>
          <w:lang w:val="en-US" w:eastAsia="zh-CN"/>
        </w:rPr>
        <w:t>RLF report.</w:t>
      </w:r>
    </w:p>
    <w:p w14:paraId="1BD63F5A">
      <w:pPr>
        <w:pStyle w:val="2"/>
        <w:spacing w:line="240" w:lineRule="auto"/>
        <w:rPr>
          <w:rFonts w:hint="default"/>
          <w:lang w:val="en-US" w:eastAsia="zh-CN"/>
        </w:rPr>
      </w:pPr>
      <w:r>
        <w:rPr>
          <w:rFonts w:hint="eastAsia"/>
          <w:lang w:val="en-US" w:eastAsia="zh-CN"/>
        </w:rPr>
        <w:t>In case there is an SCG failure when UE is configured with CHO with candidate SCG(s), the serving M-NG-RAN node receiving SCGFailureInformation from the UE performs initial analysis. If the SCG failure has been caused by a different M-NG-RAN node, the serving M-NG-RAN node sends SCG Failure Indication message to the M-NG-RAN node that caused the failure. If it is an SN that caused the failure, the M-NG-RAN node sends SCG FAILURE INFORMATION REPORT message to the SN.</w:t>
      </w:r>
    </w:p>
    <w:p w14:paraId="2766F9E3">
      <w:pPr>
        <w:pStyle w:val="2"/>
        <w:spacing w:line="240" w:lineRule="auto"/>
        <w:rPr>
          <w:rFonts w:hint="eastAsia"/>
          <w:b/>
          <w:bCs/>
          <w:u w:val="single"/>
          <w:lang w:val="en-US" w:eastAsia="zh-CN"/>
        </w:rPr>
      </w:pPr>
      <w:r>
        <w:rPr>
          <w:rFonts w:hint="eastAsia"/>
          <w:b/>
          <w:bCs/>
          <w:u w:val="single"/>
          <w:lang w:val="en-US" w:eastAsia="zh-CN"/>
        </w:rPr>
        <w:t>MRO enhancement for subsequent CPAC</w:t>
      </w:r>
    </w:p>
    <w:p w14:paraId="6C73FD88">
      <w:pPr>
        <w:pStyle w:val="2"/>
        <w:spacing w:line="240" w:lineRule="auto"/>
        <w:rPr>
          <w:rFonts w:hint="eastAsia"/>
          <w:lang w:val="en-US" w:eastAsia="zh-CN"/>
        </w:rPr>
      </w:pPr>
      <w:r>
        <w:rPr>
          <w:rFonts w:hint="eastAsia"/>
          <w:b w:val="0"/>
          <w:bCs w:val="0"/>
          <w:u w:val="none"/>
          <w:lang w:val="en-US" w:eastAsia="zh-CN"/>
        </w:rPr>
        <w:t xml:space="preserve">MRO for subsequent CPAC(S-CPAC) failure is to detect CPAC failures that occur due to </w:t>
      </w:r>
      <w:r>
        <w:rPr>
          <w:rFonts w:eastAsia="Times New Roman"/>
          <w:lang w:eastAsia="ja-JP"/>
        </w:rPr>
        <w:t>Too late CPC</w:t>
      </w:r>
      <w:r>
        <w:rPr>
          <w:rFonts w:eastAsia="Times New Roman"/>
          <w:lang w:eastAsia="zh-CN"/>
        </w:rPr>
        <w:t xml:space="preserve"> execution or </w:t>
      </w:r>
      <w:r>
        <w:rPr>
          <w:rFonts w:eastAsia="Times New Roman"/>
          <w:lang w:eastAsia="ja-JP"/>
        </w:rPr>
        <w:t>Too early CPC/CPA execution</w:t>
      </w:r>
      <w:r>
        <w:rPr>
          <w:rFonts w:eastAsia="Times New Roman"/>
          <w:lang w:eastAsia="zh-CN"/>
        </w:rPr>
        <w:t xml:space="preserve">, or </w:t>
      </w:r>
      <w:r>
        <w:rPr>
          <w:rFonts w:eastAsia="Times New Roman"/>
          <w:lang w:eastAsia="ja-JP"/>
        </w:rPr>
        <w:t>CPC/CPA execution to wrong PSCell</w:t>
      </w:r>
      <w:r>
        <w:rPr>
          <w:rFonts w:hint="eastAsia"/>
          <w:lang w:val="en-US" w:eastAsia="zh-CN"/>
        </w:rPr>
        <w:t>.</w:t>
      </w:r>
    </w:p>
    <w:p w14:paraId="341C7388">
      <w:pPr>
        <w:pStyle w:val="2"/>
        <w:spacing w:line="240" w:lineRule="auto"/>
        <w:rPr>
          <w:rFonts w:hint="eastAsia"/>
          <w:lang w:val="en-US" w:eastAsia="zh-CN"/>
        </w:rPr>
      </w:pPr>
      <w:r>
        <w:rPr>
          <w:rFonts w:hint="eastAsia"/>
          <w:lang w:val="en-US" w:eastAsia="zh-CN"/>
        </w:rPr>
        <w:t>For MN initiated S-CPAC, the MN performs the root cause analysis. For initial S-CPAC failure during a MN initiated S-CPAC, the forwarding mechanism is the same as that for MN initiated CPC. For a following S-CPC failure during an MN initiated S-CPAC, if the suitable PSCell is one of the candidate PSCells provided by the MN at CPAC preparation, the MN sends the SCG Failure Information Report message to the candidate or target SN, which perform the final MRO related optimisation. Otherwise, the MN performs the final MRO related optimisation.</w:t>
      </w:r>
    </w:p>
    <w:p w14:paraId="242CA640">
      <w:pPr>
        <w:pStyle w:val="2"/>
        <w:spacing w:line="240" w:lineRule="auto"/>
        <w:rPr>
          <w:rFonts w:hint="eastAsia"/>
          <w:lang w:val="en-US" w:eastAsia="zh-CN"/>
        </w:rPr>
      </w:pPr>
      <w:r>
        <w:rPr>
          <w:rFonts w:hint="eastAsia"/>
          <w:lang w:val="en-US" w:eastAsia="zh-CN"/>
        </w:rPr>
        <w:t>For SN initiated S-CPAC, the MN sends the SCG Failure Information Report message to the initiating SN, and the initiating SN performs root cause analysis. For initial S-CPAC failure during a SN initiated S-CPAC, the forwarding mechanism is the same as that for SN initiated CPC. The source SN is also the initiating SN at S-CPAC preparation.For a following S-CPC failure during a SN initiated S-CPAC, if the suitable PSCell is one of the candidate PSCells provided by the initiating SN at CPAC preparation, the initiating SN indicates to MN that the root cause of the SCG failure may have occurred in the other nodes. MN then sends the SCG Failure Information Report message to the candidate or target SN. Otherwise, the initiating SN performs the final MRO related optimisation.</w:t>
      </w:r>
    </w:p>
    <w:p w14:paraId="0BC3F11E">
      <w:pPr>
        <w:pStyle w:val="2"/>
        <w:spacing w:line="240" w:lineRule="auto"/>
        <w:rPr>
          <w:rFonts w:hint="eastAsia"/>
          <w:lang w:val="en-US" w:eastAsia="zh-CN"/>
        </w:rPr>
      </w:pPr>
      <w:r>
        <w:rPr>
          <w:rFonts w:hint="eastAsia"/>
          <w:lang w:val="en-US" w:eastAsia="zh-CN"/>
        </w:rPr>
        <w:t>In case of S-CPAC, when an SN is released, the MN may provide the latest SCG UHI to the SN using the M-NG-RAN node initiated S-NG-RAN node Release or the S-NG-RAN node initiated S-NG-RAN node Release procedures.</w:t>
      </w:r>
    </w:p>
    <w:p w14:paraId="1E034228">
      <w:pPr>
        <w:pStyle w:val="2"/>
        <w:spacing w:line="240" w:lineRule="auto"/>
        <w:rPr>
          <w:rFonts w:hint="eastAsia"/>
          <w:b/>
          <w:bCs/>
          <w:u w:val="single"/>
          <w:lang w:val="en-US" w:eastAsia="zh-CN"/>
        </w:rPr>
      </w:pPr>
      <w:r>
        <w:rPr>
          <w:rFonts w:hint="eastAsia"/>
          <w:b/>
          <w:bCs/>
          <w:u w:val="single"/>
          <w:lang w:val="en-US" w:eastAsia="zh-CN"/>
        </w:rPr>
        <w:t>SON/MDT enhancements for intra-NTN mobility</w:t>
      </w:r>
    </w:p>
    <w:p w14:paraId="15D3E1D4">
      <w:pPr>
        <w:pStyle w:val="2"/>
        <w:spacing w:line="240" w:lineRule="auto"/>
        <w:rPr>
          <w:rFonts w:hint="default"/>
          <w:lang w:val="en-US" w:eastAsia="zh-CN"/>
        </w:rPr>
      </w:pPr>
      <w:r>
        <w:rPr>
          <w:rFonts w:hint="eastAsia"/>
          <w:lang w:eastAsia="zh-CN"/>
        </w:rPr>
        <w:t>To enable the N</w:t>
      </w:r>
      <w:r>
        <w:rPr>
          <w:rFonts w:hint="eastAsia"/>
          <w:lang w:val="en-US" w:eastAsia="zh-CN"/>
        </w:rPr>
        <w:t>TN</w:t>
      </w:r>
      <w:r>
        <w:rPr>
          <w:rFonts w:hint="eastAsia"/>
          <w:lang w:eastAsia="zh-CN"/>
        </w:rPr>
        <w:t xml:space="preserve"> feature supported in MDT, the network configures a list of </w:t>
      </w:r>
      <w:r>
        <w:rPr>
          <w:rFonts w:hint="default"/>
          <w:lang w:val="en-US" w:eastAsia="zh-CN"/>
        </w:rPr>
        <w:t>up to 8 geographical area</w:t>
      </w:r>
      <w:r>
        <w:rPr>
          <w:rFonts w:hint="eastAsia"/>
          <w:lang w:val="en-US" w:eastAsia="zh-CN"/>
        </w:rPr>
        <w:t>s</w:t>
      </w:r>
      <w:r>
        <w:rPr>
          <w:rFonts w:hint="eastAsia"/>
          <w:lang w:eastAsia="zh-CN"/>
        </w:rPr>
        <w:t xml:space="preserve"> in MDT configuration to specify the area scope of </w:t>
      </w:r>
      <w:r>
        <w:rPr>
          <w:rFonts w:hint="eastAsia"/>
          <w:lang w:val="en-US" w:eastAsia="zh-CN"/>
        </w:rPr>
        <w:t xml:space="preserve">the specific </w:t>
      </w:r>
      <w:r>
        <w:rPr>
          <w:rFonts w:hint="eastAsia"/>
          <w:lang w:eastAsia="zh-CN"/>
        </w:rPr>
        <w:t xml:space="preserve">MDT task, </w:t>
      </w:r>
      <w:r>
        <w:rPr>
          <w:rFonts w:hint="eastAsia"/>
          <w:lang w:val="en-US" w:eastAsia="zh-CN"/>
        </w:rPr>
        <w:t xml:space="preserve">while </w:t>
      </w:r>
      <w:r>
        <w:rPr>
          <w:rFonts w:hint="default"/>
          <w:lang w:val="en-US" w:eastAsia="zh-CN"/>
        </w:rPr>
        <w:t>UE will only log measurements when camping in any cell that belongs to the configured geographical areas.</w:t>
      </w:r>
      <w:r>
        <w:rPr>
          <w:rFonts w:hint="eastAsia"/>
          <w:lang w:val="en-US" w:eastAsia="zh-CN"/>
        </w:rPr>
        <w:t xml:space="preserve">  Both logged and immediate MDT are supported within the geographical area scope.</w:t>
      </w:r>
    </w:p>
    <w:p w14:paraId="568FCF86">
      <w:pPr>
        <w:pStyle w:val="2"/>
        <w:spacing w:line="240" w:lineRule="auto"/>
        <w:rPr>
          <w:rFonts w:hint="eastAsia"/>
          <w:b/>
          <w:bCs/>
          <w:u w:val="single"/>
          <w:lang w:val="en-US" w:eastAsia="zh-CN"/>
        </w:rPr>
      </w:pPr>
      <w:r>
        <w:rPr>
          <w:rFonts w:hint="eastAsia"/>
          <w:b/>
          <w:bCs/>
          <w:u w:val="single"/>
          <w:lang w:val="en-US" w:eastAsia="zh-CN"/>
        </w:rPr>
        <w:t>SON/MDT enhancements for Network Slicing</w:t>
      </w:r>
    </w:p>
    <w:p w14:paraId="6920E7BB">
      <w:pPr>
        <w:pStyle w:val="2"/>
        <w:spacing w:line="240" w:lineRule="auto"/>
        <w:rPr>
          <w:rFonts w:hint="default"/>
          <w:lang w:val="en-US" w:eastAsia="zh-CN"/>
        </w:rPr>
      </w:pPr>
      <w:r>
        <w:rPr>
          <w:rFonts w:hint="eastAsia"/>
          <w:lang w:eastAsia="zh-CN"/>
        </w:rPr>
        <w:t xml:space="preserve">To enable the </w:t>
      </w:r>
      <w:r>
        <w:rPr>
          <w:rFonts w:hint="eastAsia"/>
          <w:lang w:val="en-US" w:eastAsia="zh-CN"/>
        </w:rPr>
        <w:t>network slicing</w:t>
      </w:r>
      <w:r>
        <w:rPr>
          <w:rFonts w:hint="eastAsia"/>
          <w:lang w:eastAsia="zh-CN"/>
        </w:rPr>
        <w:t xml:space="preserve"> feature supported in MDT, the network configures </w:t>
      </w:r>
      <w:r>
        <w:rPr>
          <w:rFonts w:eastAsia="宋体"/>
          <w:lang w:eastAsia="zh-CN"/>
        </w:rPr>
        <w:t>Network Slice Area Scope</w:t>
      </w:r>
      <w:r>
        <w:rPr>
          <w:rFonts w:hint="eastAsia"/>
          <w:lang w:eastAsia="zh-CN"/>
        </w:rPr>
        <w:t xml:space="preserve"> in MDT configuration </w:t>
      </w:r>
      <w:r>
        <w:rPr>
          <w:rFonts w:hint="eastAsia"/>
          <w:lang w:val="en-US" w:eastAsia="zh-CN"/>
        </w:rPr>
        <w:t>for</w:t>
      </w:r>
      <w:r>
        <w:rPr>
          <w:rFonts w:hint="eastAsia"/>
          <w:lang w:eastAsia="zh-CN"/>
        </w:rPr>
        <w:t xml:space="preserve"> MDT </w:t>
      </w:r>
      <w:r>
        <w:rPr>
          <w:rFonts w:hint="eastAsia"/>
          <w:lang w:val="en-US" w:eastAsia="zh-CN"/>
        </w:rPr>
        <w:t>measurement collection</w:t>
      </w:r>
      <w:r>
        <w:rPr>
          <w:rFonts w:hint="eastAsia"/>
          <w:lang w:eastAsia="zh-CN"/>
        </w:rPr>
        <w:t xml:space="preserve">, </w:t>
      </w:r>
      <w:r>
        <w:rPr>
          <w:rFonts w:hint="eastAsia"/>
          <w:lang w:val="en-US" w:eastAsia="zh-CN"/>
        </w:rPr>
        <w:t xml:space="preserve">while </w:t>
      </w:r>
      <w:r>
        <w:rPr>
          <w:rFonts w:hint="default"/>
          <w:lang w:val="en-US" w:eastAsia="zh-CN"/>
        </w:rPr>
        <w:t xml:space="preserve">UE will only </w:t>
      </w:r>
      <w:r>
        <w:rPr>
          <w:rFonts w:hint="eastAsia"/>
          <w:lang w:val="en-US" w:eastAsia="zh-CN"/>
        </w:rPr>
        <w:t xml:space="preserve">support </w:t>
      </w:r>
      <w:r>
        <w:rPr>
          <w:rFonts w:hint="default"/>
          <w:lang w:val="en-US" w:eastAsia="zh-CN"/>
        </w:rPr>
        <w:t xml:space="preserve">log measurements when </w:t>
      </w:r>
      <w:r>
        <w:rPr>
          <w:rFonts w:hint="eastAsia"/>
          <w:lang w:val="en-US" w:eastAsia="zh-CN"/>
        </w:rPr>
        <w:t xml:space="preserve">using the </w:t>
      </w:r>
      <w:r>
        <w:t>particular</w:t>
      </w:r>
      <w:r>
        <w:rPr>
          <w:rFonts w:hint="eastAsia"/>
          <w:lang w:val="en-US" w:eastAsia="zh-CN"/>
        </w:rPr>
        <w:t xml:space="preserve"> slice(s)</w:t>
      </w:r>
      <w:r>
        <w:rPr>
          <w:rFonts w:hint="default"/>
          <w:lang w:val="en-US" w:eastAsia="zh-CN"/>
        </w:rPr>
        <w:t xml:space="preserve"> that belongs to the configured </w:t>
      </w:r>
      <w:r>
        <w:rPr>
          <w:rFonts w:eastAsia="宋体"/>
          <w:lang w:eastAsia="zh-CN"/>
        </w:rPr>
        <w:t>Network Slice Area Scope</w:t>
      </w:r>
      <w:r>
        <w:rPr>
          <w:rFonts w:hint="default"/>
          <w:lang w:val="en-US" w:eastAsia="zh-CN"/>
        </w:rPr>
        <w:t>.</w:t>
      </w:r>
    </w:p>
    <w:p w14:paraId="5601E7FC">
      <w:pPr>
        <w:pStyle w:val="2"/>
        <w:spacing w:line="240" w:lineRule="auto"/>
        <w:rPr>
          <w:rFonts w:hint="default"/>
          <w:lang w:val="en-US" w:eastAsia="zh-CN"/>
        </w:rPr>
      </w:pPr>
    </w:p>
    <w:p w14:paraId="3E40E35E">
      <w:pPr>
        <w:pStyle w:val="2"/>
        <w:spacing w:line="240" w:lineRule="auto"/>
        <w:rPr>
          <w:rFonts w:hint="eastAsia"/>
          <w:b/>
          <w:bCs/>
          <w:u w:val="single"/>
          <w:lang w:val="en-US"/>
        </w:rPr>
      </w:pPr>
      <w:r>
        <w:rPr>
          <w:rFonts w:hint="eastAsia"/>
          <w:b/>
          <w:bCs/>
          <w:u w:val="single"/>
          <w:lang w:val="en-US"/>
        </w:rPr>
        <w:t>S</w:t>
      </w:r>
      <w:r>
        <w:rPr>
          <w:b/>
          <w:bCs/>
          <w:u w:val="single"/>
          <w:lang w:val="en-US"/>
        </w:rPr>
        <w:t>u</w:t>
      </w:r>
      <w:r>
        <w:rPr>
          <w:rFonts w:hint="eastAsia"/>
          <w:b/>
          <w:bCs/>
          <w:u w:val="single"/>
          <w:lang w:val="en-US"/>
        </w:rPr>
        <w:t xml:space="preserve">pport of the leftovers in Rel-18 SON/MDT </w:t>
      </w:r>
    </w:p>
    <w:p w14:paraId="7D06EF68">
      <w:pPr>
        <w:pStyle w:val="57"/>
        <w:spacing w:after="120" w:line="240" w:lineRule="auto"/>
        <w:ind w:left="0" w:firstLine="0"/>
        <w:jc w:val="both"/>
        <w:rPr>
          <w:rFonts w:hint="default"/>
          <w:lang w:val="en-US" w:eastAsia="zh-CN"/>
        </w:rPr>
      </w:pPr>
      <w:r>
        <w:rPr>
          <w:rFonts w:hint="eastAsia"/>
          <w:lang w:val="en-US" w:eastAsia="zh-CN"/>
        </w:rPr>
        <w:t>There are three leftovers functionalities in Rel-18, including RACH optimization for SDT, MHI Enhancement for SCG Deactivation/Activation, and MRO for MR-DC SCG failure.</w:t>
      </w:r>
    </w:p>
    <w:p w14:paraId="25CCD427">
      <w:pPr>
        <w:pStyle w:val="57"/>
        <w:spacing w:after="120" w:line="240" w:lineRule="auto"/>
        <w:ind w:left="0" w:firstLine="0"/>
        <w:jc w:val="both"/>
        <w:rPr>
          <w:rFonts w:hint="eastAsia"/>
        </w:rPr>
      </w:pPr>
      <w:r>
        <w:rPr>
          <w:rFonts w:hint="eastAsia"/>
          <w:lang w:val="en-US" w:eastAsia="zh-CN"/>
        </w:rPr>
        <w:t>The functionality of RACH optimization for SDT supports to</w:t>
      </w:r>
      <w:r>
        <w:t xml:space="preserve"> detect and optimize the non-optimal the configurations of the conditions and parameters of SDT </w:t>
      </w:r>
      <w:r>
        <w:rPr>
          <w:rFonts w:hint="eastAsia"/>
        </w:rPr>
        <w:t>which</w:t>
      </w:r>
      <w:r>
        <w:t xml:space="preserve"> may result in SDT data transmission fails</w:t>
      </w:r>
      <w:r>
        <w:rPr>
          <w:rFonts w:hint="eastAsia"/>
        </w:rPr>
        <w:t xml:space="preserve">. The UE can log and report SDT related configuration parameters in the RA report for SDT. </w:t>
      </w:r>
    </w:p>
    <w:p w14:paraId="27D22609">
      <w:pPr>
        <w:pStyle w:val="57"/>
        <w:spacing w:after="120"/>
        <w:ind w:left="0" w:firstLine="0"/>
        <w:rPr>
          <w:rFonts w:hint="eastAsia"/>
          <w:u w:val="none"/>
        </w:rPr>
      </w:pPr>
      <w:r>
        <w:rPr>
          <w:rFonts w:hint="eastAsia"/>
          <w:u w:val="none"/>
          <w:lang w:val="en-US" w:eastAsia="zh-CN"/>
        </w:rPr>
        <w:t>For MHI enhancement for SCG Deactivation/Activation, t</w:t>
      </w:r>
      <w:r>
        <w:rPr>
          <w:rFonts w:hint="eastAsia"/>
          <w:u w:val="none"/>
        </w:rPr>
        <w:t xml:space="preserve">he information of SCG activation and/or deactivation could </w:t>
      </w:r>
      <w:r>
        <w:rPr>
          <w:rFonts w:hint="eastAsia"/>
          <w:u w:val="none"/>
          <w:lang w:val="en-US" w:eastAsia="zh-CN"/>
        </w:rPr>
        <w:t xml:space="preserve">assist </w:t>
      </w:r>
      <w:r>
        <w:rPr>
          <w:rFonts w:hint="eastAsia"/>
          <w:u w:val="none"/>
        </w:rPr>
        <w:t xml:space="preserve">the network </w:t>
      </w:r>
      <w:r>
        <w:rPr>
          <w:rFonts w:hint="eastAsia"/>
          <w:u w:val="none"/>
          <w:lang w:val="en-US" w:eastAsia="zh-CN"/>
        </w:rPr>
        <w:t xml:space="preserve">to obtain </w:t>
      </w:r>
      <w:r>
        <w:rPr>
          <w:rFonts w:hint="eastAsia"/>
          <w:u w:val="none"/>
        </w:rPr>
        <w:t>the actual utilization</w:t>
      </w:r>
      <w:r>
        <w:rPr>
          <w:rFonts w:hint="eastAsia"/>
          <w:u w:val="none"/>
          <w:lang w:val="en-US" w:eastAsia="zh-CN"/>
        </w:rPr>
        <w:t xml:space="preserve"> status</w:t>
      </w:r>
      <w:r>
        <w:rPr>
          <w:rFonts w:hint="eastAsia"/>
          <w:u w:val="none"/>
        </w:rPr>
        <w:t xml:space="preserve"> of Dual Connectivity and further optimize the configuration of Dual Connectivity. To enable the network to </w:t>
      </w:r>
      <w:r>
        <w:rPr>
          <w:rFonts w:hint="eastAsia"/>
          <w:u w:val="none"/>
          <w:lang w:val="en-US" w:eastAsia="zh-CN"/>
        </w:rPr>
        <w:t xml:space="preserve">control the </w:t>
      </w:r>
      <w:r>
        <w:rPr>
          <w:rFonts w:hint="eastAsia"/>
          <w:u w:val="none"/>
        </w:rPr>
        <w:t>coverage of network and adjust the mobility related parameters, both UHI and MHI are enhanced to include the information about time spent in the PSCell in activated and deactivated state.</w:t>
      </w:r>
    </w:p>
    <w:p w14:paraId="561BE01B">
      <w:pPr>
        <w:pStyle w:val="2"/>
        <w:spacing w:after="120" w:line="240" w:lineRule="auto"/>
        <w:jc w:val="both"/>
        <w:rPr>
          <w:rFonts w:hint="eastAsia" w:eastAsia="Malgun Gothic"/>
          <w:lang w:eastAsia="ko-KR"/>
        </w:rPr>
      </w:pPr>
      <w:r>
        <w:t>MRO for MR-DC SCG failure</w:t>
      </w:r>
      <w:r>
        <w:rPr>
          <w:rFonts w:hint="eastAsia"/>
        </w:rPr>
        <w:t xml:space="preserve"> </w:t>
      </w:r>
      <w:r>
        <w:rPr>
          <w:rFonts w:hint="eastAsia"/>
          <w:lang w:val="en-US" w:eastAsia="zh-CN"/>
        </w:rPr>
        <w:t xml:space="preserve">includes both </w:t>
      </w:r>
      <w:r>
        <w:t>EN-DC scenario</w:t>
      </w:r>
      <w:r>
        <w:rPr>
          <w:rFonts w:hint="eastAsia"/>
        </w:rPr>
        <w:t xml:space="preserve"> and NGEN-DC scenario. To enhance EN-DC case, the </w:t>
      </w:r>
      <w:r>
        <w:t>new</w:t>
      </w:r>
      <w:r>
        <w:rPr>
          <w:rFonts w:hint="eastAsia"/>
        </w:rPr>
        <w:t xml:space="preserve"> </w:t>
      </w:r>
      <w:r>
        <w:t>SCG FAILURE INFORMATION REPORT message and SCG FAILURE TRANSFER message over X2 interface</w:t>
      </w:r>
      <w:r>
        <w:rPr>
          <w:rFonts w:hint="eastAsia"/>
        </w:rPr>
        <w:t xml:space="preserve"> is introduced to transfer </w:t>
      </w:r>
      <w:r>
        <w:t>SCG failure related information between MN and SN for root cause analysis.</w:t>
      </w:r>
      <w:bookmarkStart w:id="2" w:name="_GoBack"/>
      <w:bookmarkEnd w:id="2"/>
    </w:p>
    <w:p w14:paraId="3C988B7B">
      <w:pPr>
        <w:pStyle w:val="3"/>
        <w:rPr>
          <w:rFonts w:eastAsia="Malgun Gothic"/>
        </w:rPr>
      </w:pPr>
      <w:r>
        <w:rPr>
          <w:rFonts w:eastAsia="Malgun Gothic"/>
        </w:rPr>
        <w:t>3</w:t>
      </w:r>
      <w:r>
        <w:rPr>
          <w:rFonts w:eastAsia="Malgun Gothic"/>
        </w:rPr>
        <w:tab/>
      </w:r>
      <w:r>
        <w:rPr>
          <w:rFonts w:eastAsia="Malgun Gothic"/>
        </w:rPr>
        <w:t>References</w:t>
      </w:r>
    </w:p>
    <w:p w14:paraId="5FEDE334">
      <w:pPr>
        <w:rPr>
          <w:rFonts w:eastAsia="Malgun Gothic"/>
          <w:lang w:eastAsia="ko-KR"/>
        </w:rPr>
      </w:pPr>
      <w:r>
        <w:rPr>
          <w:rFonts w:eastAsia="Malgun Gothic"/>
          <w:lang w:eastAsia="ko-KR"/>
        </w:rPr>
        <w:t>[1]</w:t>
      </w:r>
      <w:r>
        <w:rPr>
          <w:rFonts w:eastAsia="Malgun Gothic"/>
          <w:lang w:eastAsia="ko-KR"/>
        </w:rPr>
        <w:tab/>
      </w:r>
      <w:r>
        <w:rPr>
          <w:rFonts w:hint="eastAsia" w:eastAsia="Malgun Gothic"/>
          <w:lang w:eastAsia="ko-KR"/>
        </w:rPr>
        <w:t>RP-234038</w:t>
      </w:r>
      <w:r>
        <w:rPr>
          <w:rFonts w:eastAsia="Malgun Gothic"/>
          <w:lang w:eastAsia="ko-KR"/>
        </w:rPr>
        <w:t xml:space="preserve">, </w:t>
      </w:r>
      <w:r>
        <w:rPr>
          <w:rFonts w:hint="eastAsia" w:eastAsia="宋体"/>
          <w:lang w:val="en-US" w:eastAsia="zh-CN"/>
        </w:rPr>
        <w:t>New</w:t>
      </w:r>
      <w:r>
        <w:rPr>
          <w:rFonts w:eastAsia="Malgun Gothic"/>
          <w:lang w:eastAsia="ko-KR"/>
        </w:rPr>
        <w:t xml:space="preserve"> WID</w:t>
      </w:r>
      <w:r>
        <w:rPr>
          <w:rFonts w:hint="eastAsia" w:eastAsia="Malgun Gothic"/>
          <w:lang w:eastAsia="ko-KR"/>
        </w:rPr>
        <w:t>: Data collection for SON (Self-Organising Networks)/MDT (Minimization of Drive Tests) in NR standalone and MR-DC (Multi-Radio Dual Connectivity) Phase 4</w:t>
      </w:r>
    </w:p>
    <w:p w14:paraId="4703528C">
      <w:pPr>
        <w:rPr>
          <w:rFonts w:eastAsia="Malgun Gothic"/>
          <w:lang w:eastAsia="ko-KR"/>
        </w:rPr>
      </w:pPr>
      <w:r>
        <w:rPr>
          <w:rFonts w:eastAsia="Malgun Gothic"/>
          <w:lang w:eastAsia="ko-KR"/>
        </w:rPr>
        <w:t>[2]</w:t>
      </w:r>
      <w:r>
        <w:rPr>
          <w:rFonts w:eastAsia="Malgun Gothic"/>
          <w:lang w:eastAsia="ko-KR"/>
        </w:rPr>
        <w:tab/>
      </w:r>
      <w:r>
        <w:rPr>
          <w:rFonts w:hint="eastAsia"/>
        </w:rPr>
        <w:t>RP-252558</w:t>
      </w:r>
      <w:r>
        <w:rPr>
          <w:rFonts w:hint="eastAsia"/>
          <w:lang w:val="en-US" w:eastAsia="zh-CN"/>
        </w:rPr>
        <w:t>,</w:t>
      </w:r>
      <w:r>
        <w:rPr>
          <w:rFonts w:hint="eastAsia"/>
        </w:rPr>
        <w:t> SR for NR_ENDC_SON_MDT_phase 4</w:t>
      </w:r>
    </w:p>
    <w:sectPr>
      <w:pgSz w:w="11906" w:h="16838"/>
      <w:pgMar w:top="1440" w:right="1080" w:bottom="1440" w:left="1080"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modern"/>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hyphenationZone w:val="360"/>
  <w:doNotHyphenateCaps/>
  <w:drawingGridHorizontalSpacing w:val="100"/>
  <w:displayHorizontalDrawingGridEvery w:val="0"/>
  <w:displayVerticalDrawingGridEvery w:val="2"/>
  <w:characterSpacingControl w:val="compressPunctuation"/>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480"/>
    <w:rsid w:val="0000049D"/>
    <w:rsid w:val="00001C6D"/>
    <w:rsid w:val="0000238A"/>
    <w:rsid w:val="00003053"/>
    <w:rsid w:val="000034AB"/>
    <w:rsid w:val="000036E5"/>
    <w:rsid w:val="00003A3A"/>
    <w:rsid w:val="00003B2B"/>
    <w:rsid w:val="00003DD9"/>
    <w:rsid w:val="00004348"/>
    <w:rsid w:val="000070C4"/>
    <w:rsid w:val="000103EC"/>
    <w:rsid w:val="00010D3D"/>
    <w:rsid w:val="0001181D"/>
    <w:rsid w:val="00011DFC"/>
    <w:rsid w:val="00012945"/>
    <w:rsid w:val="00012A65"/>
    <w:rsid w:val="00014FE9"/>
    <w:rsid w:val="000153B1"/>
    <w:rsid w:val="00015E67"/>
    <w:rsid w:val="0001660E"/>
    <w:rsid w:val="00016C9C"/>
    <w:rsid w:val="00017416"/>
    <w:rsid w:val="0002010B"/>
    <w:rsid w:val="00020708"/>
    <w:rsid w:val="00020C1B"/>
    <w:rsid w:val="00020F05"/>
    <w:rsid w:val="00021D84"/>
    <w:rsid w:val="0002209B"/>
    <w:rsid w:val="000244DF"/>
    <w:rsid w:val="00025356"/>
    <w:rsid w:val="00025CD5"/>
    <w:rsid w:val="00025FDA"/>
    <w:rsid w:val="00026AE7"/>
    <w:rsid w:val="00027038"/>
    <w:rsid w:val="000278B2"/>
    <w:rsid w:val="0003005C"/>
    <w:rsid w:val="00030FFB"/>
    <w:rsid w:val="00032D86"/>
    <w:rsid w:val="00033583"/>
    <w:rsid w:val="000349F9"/>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155"/>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0F8"/>
    <w:rsid w:val="000E59B2"/>
    <w:rsid w:val="000E5E31"/>
    <w:rsid w:val="000E678C"/>
    <w:rsid w:val="000E67E3"/>
    <w:rsid w:val="000F0A38"/>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042"/>
    <w:rsid w:val="001046A9"/>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2F2C"/>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68F8"/>
    <w:rsid w:val="0013021E"/>
    <w:rsid w:val="00130F73"/>
    <w:rsid w:val="00131D4F"/>
    <w:rsid w:val="00131D68"/>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4BAE"/>
    <w:rsid w:val="00146000"/>
    <w:rsid w:val="00146024"/>
    <w:rsid w:val="001465BA"/>
    <w:rsid w:val="00146906"/>
    <w:rsid w:val="00146A13"/>
    <w:rsid w:val="00146C3D"/>
    <w:rsid w:val="00147438"/>
    <w:rsid w:val="00147E3E"/>
    <w:rsid w:val="001508B3"/>
    <w:rsid w:val="00151A42"/>
    <w:rsid w:val="001521C5"/>
    <w:rsid w:val="00153451"/>
    <w:rsid w:val="00153CC4"/>
    <w:rsid w:val="00154BD6"/>
    <w:rsid w:val="00154EAA"/>
    <w:rsid w:val="0015508F"/>
    <w:rsid w:val="00155421"/>
    <w:rsid w:val="00155742"/>
    <w:rsid w:val="001569C5"/>
    <w:rsid w:val="001576D5"/>
    <w:rsid w:val="00160D86"/>
    <w:rsid w:val="001613C8"/>
    <w:rsid w:val="00161427"/>
    <w:rsid w:val="00161C48"/>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17F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E79B6"/>
    <w:rsid w:val="001F1F1B"/>
    <w:rsid w:val="001F2050"/>
    <w:rsid w:val="001F28AB"/>
    <w:rsid w:val="001F2D7C"/>
    <w:rsid w:val="001F3C2C"/>
    <w:rsid w:val="001F4166"/>
    <w:rsid w:val="001F4C5F"/>
    <w:rsid w:val="001F54FB"/>
    <w:rsid w:val="001F59D2"/>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377"/>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6B46"/>
    <w:rsid w:val="0023717B"/>
    <w:rsid w:val="00237808"/>
    <w:rsid w:val="00240369"/>
    <w:rsid w:val="002408A7"/>
    <w:rsid w:val="00241078"/>
    <w:rsid w:val="0024190D"/>
    <w:rsid w:val="002423C0"/>
    <w:rsid w:val="00242A96"/>
    <w:rsid w:val="00242FC1"/>
    <w:rsid w:val="0024431F"/>
    <w:rsid w:val="00244566"/>
    <w:rsid w:val="002449B2"/>
    <w:rsid w:val="00244A13"/>
    <w:rsid w:val="002453D9"/>
    <w:rsid w:val="00246D3F"/>
    <w:rsid w:val="00247CAE"/>
    <w:rsid w:val="002505E5"/>
    <w:rsid w:val="00250895"/>
    <w:rsid w:val="002510DE"/>
    <w:rsid w:val="0025113C"/>
    <w:rsid w:val="00251681"/>
    <w:rsid w:val="0025185A"/>
    <w:rsid w:val="00251B24"/>
    <w:rsid w:val="00252CC4"/>
    <w:rsid w:val="00254147"/>
    <w:rsid w:val="00260410"/>
    <w:rsid w:val="00260B99"/>
    <w:rsid w:val="00261545"/>
    <w:rsid w:val="0026220A"/>
    <w:rsid w:val="002624CB"/>
    <w:rsid w:val="00263F24"/>
    <w:rsid w:val="002642D3"/>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417C"/>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60B"/>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5880"/>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3E36"/>
    <w:rsid w:val="002E4DE3"/>
    <w:rsid w:val="002E51CE"/>
    <w:rsid w:val="002E6A2B"/>
    <w:rsid w:val="002E6AE0"/>
    <w:rsid w:val="002E7779"/>
    <w:rsid w:val="002F0053"/>
    <w:rsid w:val="002F09A8"/>
    <w:rsid w:val="002F1D70"/>
    <w:rsid w:val="002F260A"/>
    <w:rsid w:val="002F2613"/>
    <w:rsid w:val="002F5D52"/>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07AE3"/>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A6F"/>
    <w:rsid w:val="00331FC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4F5A"/>
    <w:rsid w:val="003E624D"/>
    <w:rsid w:val="003E62FB"/>
    <w:rsid w:val="003E71A9"/>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6BFB"/>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5BF5"/>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263"/>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87BF2"/>
    <w:rsid w:val="00487F9C"/>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19AE"/>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62C6"/>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D2C"/>
    <w:rsid w:val="00517F98"/>
    <w:rsid w:val="0052074E"/>
    <w:rsid w:val="0052298D"/>
    <w:rsid w:val="00522A7B"/>
    <w:rsid w:val="00523907"/>
    <w:rsid w:val="00525E21"/>
    <w:rsid w:val="0052659A"/>
    <w:rsid w:val="0052767E"/>
    <w:rsid w:val="00527915"/>
    <w:rsid w:val="00530066"/>
    <w:rsid w:val="005302C7"/>
    <w:rsid w:val="00530929"/>
    <w:rsid w:val="0053147C"/>
    <w:rsid w:val="00534281"/>
    <w:rsid w:val="00535005"/>
    <w:rsid w:val="0053506F"/>
    <w:rsid w:val="005362A6"/>
    <w:rsid w:val="0053658B"/>
    <w:rsid w:val="00536595"/>
    <w:rsid w:val="00537C22"/>
    <w:rsid w:val="005409FB"/>
    <w:rsid w:val="00540C52"/>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66B"/>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2F94"/>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8AD"/>
    <w:rsid w:val="005A7D32"/>
    <w:rsid w:val="005B05A6"/>
    <w:rsid w:val="005B0EC4"/>
    <w:rsid w:val="005B13E4"/>
    <w:rsid w:val="005B21CB"/>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8D2"/>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AC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17"/>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4A8"/>
    <w:rsid w:val="00642C50"/>
    <w:rsid w:val="0064339B"/>
    <w:rsid w:val="00644698"/>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393"/>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605"/>
    <w:rsid w:val="006B47B3"/>
    <w:rsid w:val="006B51FA"/>
    <w:rsid w:val="006B58BA"/>
    <w:rsid w:val="006B76F0"/>
    <w:rsid w:val="006C0C71"/>
    <w:rsid w:val="006C2AB5"/>
    <w:rsid w:val="006C41B0"/>
    <w:rsid w:val="006C440F"/>
    <w:rsid w:val="006C4B67"/>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160"/>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775"/>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C65"/>
    <w:rsid w:val="007334F8"/>
    <w:rsid w:val="00734609"/>
    <w:rsid w:val="00734EEF"/>
    <w:rsid w:val="00735892"/>
    <w:rsid w:val="007372C5"/>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306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9C"/>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6E6"/>
    <w:rsid w:val="007D2FDA"/>
    <w:rsid w:val="007D3C32"/>
    <w:rsid w:val="007D3E14"/>
    <w:rsid w:val="007D4EF1"/>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561"/>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476"/>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326C"/>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53A"/>
    <w:rsid w:val="008E7869"/>
    <w:rsid w:val="008F0058"/>
    <w:rsid w:val="008F0761"/>
    <w:rsid w:val="008F07AF"/>
    <w:rsid w:val="008F07D7"/>
    <w:rsid w:val="008F1257"/>
    <w:rsid w:val="008F1841"/>
    <w:rsid w:val="008F267F"/>
    <w:rsid w:val="008F3005"/>
    <w:rsid w:val="008F363D"/>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19EE"/>
    <w:rsid w:val="00952C0D"/>
    <w:rsid w:val="00952E73"/>
    <w:rsid w:val="00952F5B"/>
    <w:rsid w:val="00953054"/>
    <w:rsid w:val="00953C38"/>
    <w:rsid w:val="00953C90"/>
    <w:rsid w:val="00954B95"/>
    <w:rsid w:val="0095614F"/>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67DD9"/>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3AF"/>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679"/>
    <w:rsid w:val="009C18FD"/>
    <w:rsid w:val="009C1A0D"/>
    <w:rsid w:val="009C1B07"/>
    <w:rsid w:val="009C1E1F"/>
    <w:rsid w:val="009C1EB5"/>
    <w:rsid w:val="009C25C9"/>
    <w:rsid w:val="009C323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0B3D"/>
    <w:rsid w:val="009F1A53"/>
    <w:rsid w:val="009F1F0B"/>
    <w:rsid w:val="009F2081"/>
    <w:rsid w:val="009F3AB4"/>
    <w:rsid w:val="009F3EA0"/>
    <w:rsid w:val="009F4A7B"/>
    <w:rsid w:val="009F5346"/>
    <w:rsid w:val="009F5418"/>
    <w:rsid w:val="009F5631"/>
    <w:rsid w:val="009F5E94"/>
    <w:rsid w:val="009F66E8"/>
    <w:rsid w:val="009F6A2C"/>
    <w:rsid w:val="009F6AEA"/>
    <w:rsid w:val="009F6F5F"/>
    <w:rsid w:val="009F7081"/>
    <w:rsid w:val="009F7B49"/>
    <w:rsid w:val="009F7BBB"/>
    <w:rsid w:val="00A019B3"/>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231"/>
    <w:rsid w:val="00A12BEC"/>
    <w:rsid w:val="00A12ED2"/>
    <w:rsid w:val="00A12EFF"/>
    <w:rsid w:val="00A13080"/>
    <w:rsid w:val="00A134DE"/>
    <w:rsid w:val="00A13D6B"/>
    <w:rsid w:val="00A1419E"/>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253E"/>
    <w:rsid w:val="00A32F90"/>
    <w:rsid w:val="00A33799"/>
    <w:rsid w:val="00A33EAA"/>
    <w:rsid w:val="00A34B42"/>
    <w:rsid w:val="00A36437"/>
    <w:rsid w:val="00A36479"/>
    <w:rsid w:val="00A3647E"/>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2B83"/>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4D00"/>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54DE"/>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3D2D"/>
    <w:rsid w:val="00B15071"/>
    <w:rsid w:val="00B15A95"/>
    <w:rsid w:val="00B167E5"/>
    <w:rsid w:val="00B1681D"/>
    <w:rsid w:val="00B17296"/>
    <w:rsid w:val="00B17497"/>
    <w:rsid w:val="00B174BE"/>
    <w:rsid w:val="00B17D26"/>
    <w:rsid w:val="00B20898"/>
    <w:rsid w:val="00B20B4F"/>
    <w:rsid w:val="00B214B5"/>
    <w:rsid w:val="00B21616"/>
    <w:rsid w:val="00B21A3C"/>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0C9B"/>
    <w:rsid w:val="00B52203"/>
    <w:rsid w:val="00B5241E"/>
    <w:rsid w:val="00B525D5"/>
    <w:rsid w:val="00B52A2F"/>
    <w:rsid w:val="00B52AF3"/>
    <w:rsid w:val="00B531B7"/>
    <w:rsid w:val="00B540C7"/>
    <w:rsid w:val="00B546ED"/>
    <w:rsid w:val="00B54BD5"/>
    <w:rsid w:val="00B565AE"/>
    <w:rsid w:val="00B57504"/>
    <w:rsid w:val="00B57581"/>
    <w:rsid w:val="00B57B25"/>
    <w:rsid w:val="00B57FCD"/>
    <w:rsid w:val="00B60BD7"/>
    <w:rsid w:val="00B60D9E"/>
    <w:rsid w:val="00B60EEB"/>
    <w:rsid w:val="00B61447"/>
    <w:rsid w:val="00B615F0"/>
    <w:rsid w:val="00B61928"/>
    <w:rsid w:val="00B6243A"/>
    <w:rsid w:val="00B63793"/>
    <w:rsid w:val="00B647FB"/>
    <w:rsid w:val="00B64C8E"/>
    <w:rsid w:val="00B650AD"/>
    <w:rsid w:val="00B658C6"/>
    <w:rsid w:val="00B65C28"/>
    <w:rsid w:val="00B70E9E"/>
    <w:rsid w:val="00B717CA"/>
    <w:rsid w:val="00B72354"/>
    <w:rsid w:val="00B72F38"/>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A11"/>
    <w:rsid w:val="00B96EEF"/>
    <w:rsid w:val="00B973FB"/>
    <w:rsid w:val="00B97C92"/>
    <w:rsid w:val="00B97FBC"/>
    <w:rsid w:val="00BA014D"/>
    <w:rsid w:val="00BA02B2"/>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B74C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4C0B"/>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E7E"/>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3FED"/>
    <w:rsid w:val="00C840C5"/>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B1D"/>
    <w:rsid w:val="00CA6D7D"/>
    <w:rsid w:val="00CA7B52"/>
    <w:rsid w:val="00CB0A5D"/>
    <w:rsid w:val="00CB1B03"/>
    <w:rsid w:val="00CB2AA3"/>
    <w:rsid w:val="00CB3245"/>
    <w:rsid w:val="00CB386C"/>
    <w:rsid w:val="00CB3D90"/>
    <w:rsid w:val="00CB40E6"/>
    <w:rsid w:val="00CB5C80"/>
    <w:rsid w:val="00CB706B"/>
    <w:rsid w:val="00CB7A6E"/>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C03"/>
    <w:rsid w:val="00CE4ED0"/>
    <w:rsid w:val="00CE5458"/>
    <w:rsid w:val="00CE5798"/>
    <w:rsid w:val="00CE6687"/>
    <w:rsid w:val="00CE6790"/>
    <w:rsid w:val="00CE6A4C"/>
    <w:rsid w:val="00CE79EF"/>
    <w:rsid w:val="00CE7FC0"/>
    <w:rsid w:val="00CF0174"/>
    <w:rsid w:val="00CF0699"/>
    <w:rsid w:val="00CF0C0F"/>
    <w:rsid w:val="00CF21C3"/>
    <w:rsid w:val="00CF3FB1"/>
    <w:rsid w:val="00CF44AB"/>
    <w:rsid w:val="00CF4861"/>
    <w:rsid w:val="00CF4A8C"/>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B50"/>
    <w:rsid w:val="00D12E17"/>
    <w:rsid w:val="00D13290"/>
    <w:rsid w:val="00D1391B"/>
    <w:rsid w:val="00D13F8B"/>
    <w:rsid w:val="00D148B1"/>
    <w:rsid w:val="00D15125"/>
    <w:rsid w:val="00D15468"/>
    <w:rsid w:val="00D1556C"/>
    <w:rsid w:val="00D157BF"/>
    <w:rsid w:val="00D179F0"/>
    <w:rsid w:val="00D17F78"/>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2F1A"/>
    <w:rsid w:val="00D52FB5"/>
    <w:rsid w:val="00D530BB"/>
    <w:rsid w:val="00D532B2"/>
    <w:rsid w:val="00D539DB"/>
    <w:rsid w:val="00D53C22"/>
    <w:rsid w:val="00D540C0"/>
    <w:rsid w:val="00D557CE"/>
    <w:rsid w:val="00D55863"/>
    <w:rsid w:val="00D5635F"/>
    <w:rsid w:val="00D601EB"/>
    <w:rsid w:val="00D609E8"/>
    <w:rsid w:val="00D611AC"/>
    <w:rsid w:val="00D6194F"/>
    <w:rsid w:val="00D61EBB"/>
    <w:rsid w:val="00D62905"/>
    <w:rsid w:val="00D63619"/>
    <w:rsid w:val="00D63C0F"/>
    <w:rsid w:val="00D63D6C"/>
    <w:rsid w:val="00D64141"/>
    <w:rsid w:val="00D65A5D"/>
    <w:rsid w:val="00D66133"/>
    <w:rsid w:val="00D66874"/>
    <w:rsid w:val="00D668A0"/>
    <w:rsid w:val="00D67043"/>
    <w:rsid w:val="00D67078"/>
    <w:rsid w:val="00D7008E"/>
    <w:rsid w:val="00D73353"/>
    <w:rsid w:val="00D73506"/>
    <w:rsid w:val="00D752A4"/>
    <w:rsid w:val="00D759CC"/>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1D63"/>
    <w:rsid w:val="00D92744"/>
    <w:rsid w:val="00D9277D"/>
    <w:rsid w:val="00D92B9F"/>
    <w:rsid w:val="00D92CEC"/>
    <w:rsid w:val="00D93C95"/>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7D9"/>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19"/>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3C7"/>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6F5D"/>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46A2"/>
    <w:rsid w:val="00E44834"/>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0F1C"/>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1E2"/>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AD"/>
    <w:rsid w:val="00EA2FC9"/>
    <w:rsid w:val="00EA32AE"/>
    <w:rsid w:val="00EA3DA2"/>
    <w:rsid w:val="00EA3DBB"/>
    <w:rsid w:val="00EA4776"/>
    <w:rsid w:val="00EA4C8D"/>
    <w:rsid w:val="00EA4FC3"/>
    <w:rsid w:val="00EA5703"/>
    <w:rsid w:val="00EA6C98"/>
    <w:rsid w:val="00EB045D"/>
    <w:rsid w:val="00EB0D09"/>
    <w:rsid w:val="00EB143E"/>
    <w:rsid w:val="00EB154D"/>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854"/>
    <w:rsid w:val="00ED1C45"/>
    <w:rsid w:val="00ED23C1"/>
    <w:rsid w:val="00ED297B"/>
    <w:rsid w:val="00ED3169"/>
    <w:rsid w:val="00ED3D63"/>
    <w:rsid w:val="00ED508C"/>
    <w:rsid w:val="00ED6186"/>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108"/>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3B7"/>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20BA"/>
    <w:rsid w:val="00F63CD1"/>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793"/>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73C"/>
    <w:rsid w:val="00FF3D8D"/>
    <w:rsid w:val="00FF49F5"/>
    <w:rsid w:val="00FF5046"/>
    <w:rsid w:val="00FF65F5"/>
    <w:rsid w:val="00FF73F9"/>
    <w:rsid w:val="00FF7B77"/>
    <w:rsid w:val="00FF7E3F"/>
    <w:rsid w:val="012B3D2A"/>
    <w:rsid w:val="02B04479"/>
    <w:rsid w:val="09C037BE"/>
    <w:rsid w:val="0EA55D13"/>
    <w:rsid w:val="0FED5168"/>
    <w:rsid w:val="12C7072D"/>
    <w:rsid w:val="14E31BBB"/>
    <w:rsid w:val="1604101F"/>
    <w:rsid w:val="184A7C1B"/>
    <w:rsid w:val="1C7736AC"/>
    <w:rsid w:val="1D5853C5"/>
    <w:rsid w:val="23D52873"/>
    <w:rsid w:val="25867A9F"/>
    <w:rsid w:val="2BA25CAA"/>
    <w:rsid w:val="2D00201E"/>
    <w:rsid w:val="2D453FEE"/>
    <w:rsid w:val="321C261E"/>
    <w:rsid w:val="324A41A8"/>
    <w:rsid w:val="32B85D48"/>
    <w:rsid w:val="33853986"/>
    <w:rsid w:val="346D5EF3"/>
    <w:rsid w:val="393C3EC8"/>
    <w:rsid w:val="3995479F"/>
    <w:rsid w:val="3D673C39"/>
    <w:rsid w:val="40322DDA"/>
    <w:rsid w:val="40615810"/>
    <w:rsid w:val="47804B2D"/>
    <w:rsid w:val="4C0714CB"/>
    <w:rsid w:val="515F339F"/>
    <w:rsid w:val="52C5363A"/>
    <w:rsid w:val="53F75C50"/>
    <w:rsid w:val="58764F20"/>
    <w:rsid w:val="591C3ED3"/>
    <w:rsid w:val="5FAB4E04"/>
    <w:rsid w:val="6CCD7586"/>
    <w:rsid w:val="6E146C52"/>
    <w:rsid w:val="738A0271"/>
    <w:rsid w:val="76AD657D"/>
    <w:rsid w:val="76D51A67"/>
    <w:rsid w:val="7A7F43BE"/>
    <w:rsid w:val="7B0D0002"/>
    <w:rsid w:val="7CC30C75"/>
    <w:rsid w:val="7F334C6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napToGrid w:val="0"/>
      <w:spacing w:after="180"/>
      <w:textAlignment w:val="baseline"/>
    </w:pPr>
    <w:rPr>
      <w:rFonts w:ascii="Times New Roman" w:hAnsi="Times New Roman" w:eastAsia="等线" w:cs="Times New Roman"/>
      <w:lang w:val="en-GB" w:eastAsia="zh-CN"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54"/>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5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jc w:val="left"/>
    </w:pPr>
    <w:rPr>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pPr>
      <w:numPr>
        <w:ilvl w:val="0"/>
        <w:numId w:val="0"/>
      </w:numPr>
    </w:pPr>
  </w:style>
  <w:style w:type="paragraph" w:styleId="29">
    <w:name w:val="Document Map"/>
    <w:basedOn w:val="1"/>
    <w:semiHidden/>
    <w:qFormat/>
    <w:uiPriority w:val="0"/>
    <w:pPr>
      <w:shd w:val="clear" w:color="auto" w:fill="000080"/>
    </w:pPr>
    <w:rPr>
      <w:rFonts w:ascii="Arial" w:hAnsi="Arial" w:eastAsia="MS Gothic"/>
    </w:rPr>
  </w:style>
  <w:style w:type="paragraph" w:styleId="30">
    <w:name w:val="annotation text"/>
    <w:basedOn w:val="1"/>
    <w:link w:val="56"/>
    <w:qFormat/>
    <w:uiPriority w:val="99"/>
    <w:rPr>
      <w:sz w:val="20"/>
      <w:szCs w:val="20"/>
    </w:rPr>
  </w:style>
  <w:style w:type="paragraph" w:styleId="31">
    <w:name w:val="Body Text Indent"/>
    <w:basedOn w:val="1"/>
    <w:qFormat/>
    <w:uiPriority w:val="0"/>
    <w:pPr>
      <w:ind w:left="720"/>
    </w:pPr>
    <w:rPr>
      <w:b/>
      <w:bCs/>
    </w:rPr>
  </w:style>
  <w:style w:type="paragraph" w:styleId="32">
    <w:name w:val="List Bullet 5"/>
    <w:basedOn w:val="25"/>
    <w:qFormat/>
    <w:uiPriority w:val="0"/>
    <w:pPr>
      <w:ind w:left="1702"/>
    </w:pPr>
  </w:style>
  <w:style w:type="paragraph" w:styleId="33">
    <w:name w:val="toc 8"/>
    <w:basedOn w:val="22"/>
    <w:next w:val="1"/>
    <w:semiHidden/>
    <w:qFormat/>
    <w:uiPriority w:val="0"/>
    <w:pPr>
      <w:spacing w:before="180"/>
      <w:ind w:left="2693" w:hanging="2693"/>
    </w:pPr>
    <w:rPr>
      <w:b/>
    </w:rPr>
  </w:style>
  <w:style w:type="paragraph" w:styleId="34">
    <w:name w:val="Date"/>
    <w:basedOn w:val="1"/>
    <w:next w:val="1"/>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oc 9"/>
    <w:basedOn w:val="33"/>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character" w:styleId="47">
    <w:name w:val="Strong"/>
    <w:qFormat/>
    <w:uiPriority w:val="0"/>
    <w:rPr>
      <w:b/>
      <w:bCs/>
    </w:rPr>
  </w:style>
  <w:style w:type="character" w:styleId="48">
    <w:name w:val="page number"/>
    <w:basedOn w:val="46"/>
    <w:qFormat/>
    <w:uiPriority w:val="0"/>
  </w:style>
  <w:style w:type="character" w:styleId="49">
    <w:name w:val="Emphasis"/>
    <w:qFormat/>
    <w:uiPriority w:val="0"/>
    <w:rPr>
      <w:b/>
      <w:bCs/>
    </w:rPr>
  </w:style>
  <w:style w:type="character" w:styleId="50">
    <w:name w:val="line number"/>
    <w:basedOn w:val="46"/>
    <w:qFormat/>
    <w:uiPriority w:val="0"/>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제목 2 Char"/>
    <w:link w:val="4"/>
    <w:qFormat/>
    <w:uiPriority w:val="0"/>
    <w:rPr>
      <w:rFonts w:ascii="Arial" w:hAnsi="Arial" w:eastAsia="Times New Roman"/>
      <w:sz w:val="32"/>
      <w:lang w:val="en-GB" w:eastAsia="en-US"/>
    </w:rPr>
  </w:style>
  <w:style w:type="character" w:customStyle="1" w:styleId="55">
    <w:name w:val="제목 4 Char"/>
    <w:link w:val="6"/>
    <w:qFormat/>
    <w:uiPriority w:val="0"/>
    <w:rPr>
      <w:rFonts w:ascii="Arial" w:hAnsi="Arial" w:eastAsia="Times New Roman"/>
      <w:sz w:val="24"/>
      <w:lang w:val="en-GB" w:eastAsia="en-US"/>
    </w:rPr>
  </w:style>
  <w:style w:type="character" w:customStyle="1" w:styleId="56">
    <w:name w:val="메모 텍스트 Char"/>
    <w:link w:val="30"/>
    <w:uiPriority w:val="99"/>
    <w:rPr>
      <w:rFonts w:eastAsia="等线"/>
      <w:lang w:val="en-GB" w:eastAsia="zh-CN"/>
    </w:rPr>
  </w:style>
  <w:style w:type="paragraph" w:customStyle="1" w:styleId="57">
    <w:name w:val="B3"/>
    <w:basedOn w:val="13"/>
    <w:qFormat/>
    <w:uiPriority w:val="0"/>
  </w:style>
  <w:style w:type="paragraph" w:customStyle="1" w:styleId="58">
    <w:name w:val="normal puce"/>
    <w:basedOn w:val="1"/>
    <w:qFormat/>
    <w:uiPriority w:val="0"/>
    <w:pPr>
      <w:widowControl/>
      <w:tabs>
        <w:tab w:val="left" w:pos="360"/>
      </w:tabs>
      <w:spacing w:after="180"/>
      <w:ind w:left="360" w:hanging="360"/>
      <w:jc w:val="left"/>
    </w:pPr>
    <w:rPr>
      <w:kern w:val="0"/>
      <w:sz w:val="20"/>
      <w:szCs w:val="20"/>
      <w:lang w:val="en-GB"/>
    </w:rPr>
  </w:style>
  <w:style w:type="paragraph" w:customStyle="1" w:styleId="59">
    <w:name w:val="B1"/>
    <w:basedOn w:val="15"/>
    <w:link w:val="60"/>
    <w:qFormat/>
    <w:uiPriority w:val="0"/>
  </w:style>
  <w:style w:type="character" w:customStyle="1" w:styleId="60">
    <w:name w:val="B1 Char"/>
    <w:link w:val="59"/>
    <w:qFormat/>
    <w:uiPriority w:val="0"/>
    <w:rPr>
      <w:rFonts w:eastAsia="等线"/>
      <w:lang w:val="en-GB" w:eastAsia="zh-CN"/>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Rec_CCITT_#"/>
    <w:basedOn w:val="1"/>
    <w:qFormat/>
    <w:uiPriority w:val="0"/>
    <w:pPr>
      <w:keepNext/>
      <w:keepLines/>
      <w:widowControl/>
      <w:spacing w:after="180"/>
      <w:jc w:val="left"/>
    </w:pPr>
    <w:rPr>
      <w:b/>
      <w:bCs/>
      <w:kern w:val="0"/>
      <w:sz w:val="20"/>
      <w:szCs w:val="20"/>
      <w:lang w:val="en-GB"/>
    </w:rPr>
  </w:style>
  <w:style w:type="paragraph" w:customStyle="1" w:styleId="63">
    <w:name w:val="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7">
    <w:name w:val="TT"/>
    <w:basedOn w:val="3"/>
    <w:next w:val="1"/>
    <w:qFormat/>
    <w:uiPriority w:val="0"/>
    <w:pPr>
      <w:outlineLvl w:val="9"/>
    </w:pPr>
  </w:style>
  <w:style w:type="paragraph" w:customStyle="1" w:styleId="68">
    <w:name w:val="TAH"/>
    <w:basedOn w:val="69"/>
    <w:qFormat/>
    <w:uiPriority w:val="0"/>
    <w:rPr>
      <w:b/>
    </w:rPr>
  </w:style>
  <w:style w:type="paragraph" w:customStyle="1" w:styleId="69">
    <w:name w:val="TAC"/>
    <w:basedOn w:val="61"/>
    <w:qFormat/>
    <w:uiPriority w:val="0"/>
    <w:pPr>
      <w:jc w:val="center"/>
    </w:p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eastAsia="Times New Roman"/>
      <w:b/>
      <w:lang w:val="en-GB" w:eastAsia="en-US"/>
    </w:rPr>
  </w:style>
  <w:style w:type="character" w:customStyle="1" w:styleId="73">
    <w:name w:val="TF Char"/>
    <w:link w:val="70"/>
    <w:qFormat/>
    <w:uiPriority w:val="0"/>
    <w:rPr>
      <w:rFonts w:ascii="Arial" w:hAnsi="Arial" w:eastAsia="Times New Roman"/>
      <w:b/>
      <w:lang w:val="en-GB" w:eastAsia="en-US"/>
    </w:rPr>
  </w:style>
  <w:style w:type="paragraph" w:customStyle="1" w:styleId="74">
    <w:name w:val="NO"/>
    <w:basedOn w:val="1"/>
    <w:link w:val="75"/>
    <w:qFormat/>
    <w:uiPriority w:val="0"/>
    <w:pPr>
      <w:keepLines/>
      <w:ind w:left="1135" w:hanging="851"/>
    </w:pPr>
  </w:style>
  <w:style w:type="character" w:customStyle="1" w:styleId="75">
    <w:name w:val="NO Zchn"/>
    <w:link w:val="74"/>
    <w:qFormat/>
    <w:uiPriority w:val="0"/>
    <w:rPr>
      <w:rFonts w:eastAsia="等线"/>
      <w:lang w:val="en-GB" w:eastAsia="zh-CN"/>
    </w:rPr>
  </w:style>
  <w:style w:type="paragraph" w:customStyle="1" w:styleId="76">
    <w:name w:val="EX"/>
    <w:basedOn w:val="1"/>
    <w:qFormat/>
    <w:uiPriority w:val="0"/>
    <w:pPr>
      <w:keepLines/>
      <w:ind w:left="1702" w:hanging="1418"/>
    </w:pPr>
  </w:style>
  <w:style w:type="paragraph" w:customStyle="1" w:styleId="77">
    <w:name w:val="FP"/>
    <w:basedOn w:val="1"/>
    <w:qFormat/>
    <w:uiPriority w:val="0"/>
    <w:pPr>
      <w:spacing w:after="0"/>
    </w:p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9">
    <w:name w:val="NW"/>
    <w:basedOn w:val="74"/>
    <w:qFormat/>
    <w:uiPriority w:val="0"/>
    <w:pPr>
      <w:spacing w:after="0"/>
    </w:pPr>
  </w:style>
  <w:style w:type="paragraph" w:customStyle="1" w:styleId="80">
    <w:name w:val="EW"/>
    <w:basedOn w:val="76"/>
    <w:qFormat/>
    <w:uiPriority w:val="0"/>
    <w:pPr>
      <w:spacing w:after="0"/>
    </w:pPr>
  </w:style>
  <w:style w:type="paragraph" w:customStyle="1" w:styleId="81">
    <w:name w:val="EQ"/>
    <w:basedOn w:val="1"/>
    <w:next w:val="1"/>
    <w:qFormat/>
    <w:uiPriority w:val="0"/>
    <w:pPr>
      <w:keepLines/>
      <w:tabs>
        <w:tab w:val="center" w:pos="4536"/>
        <w:tab w:val="right" w:pos="9072"/>
      </w:tabs>
    </w:pPr>
  </w:style>
  <w:style w:type="paragraph" w:customStyle="1" w:styleId="82">
    <w:name w:val="NF"/>
    <w:basedOn w:val="74"/>
    <w:qFormat/>
    <w:uiPriority w:val="0"/>
    <w:pPr>
      <w:keepNext/>
      <w:spacing w:after="0"/>
    </w:pPr>
    <w:rPr>
      <w:rFonts w:ascii="Arial" w:hAnsi="Arial"/>
      <w:sz w:val="18"/>
    </w:rPr>
  </w:style>
  <w:style w:type="paragraph" w:customStyle="1" w:styleId="8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84">
    <w:name w:val="TAR"/>
    <w:basedOn w:val="61"/>
    <w:qFormat/>
    <w:uiPriority w:val="0"/>
    <w:pPr>
      <w:jc w:val="right"/>
    </w:pPr>
  </w:style>
  <w:style w:type="paragraph" w:customStyle="1" w:styleId="85">
    <w:name w:val="TAN"/>
    <w:basedOn w:val="61"/>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93">
    <w:name w:val="Editor's Note"/>
    <w:basedOn w:val="74"/>
    <w:qFormat/>
    <w:uiPriority w:val="0"/>
    <w:rPr>
      <w:color w:val="FF0000"/>
    </w:rPr>
  </w:style>
  <w:style w:type="paragraph" w:customStyle="1" w:styleId="94">
    <w:name w:val="B2"/>
    <w:basedOn w:val="14"/>
    <w:link w:val="95"/>
    <w:qFormat/>
    <w:uiPriority w:val="0"/>
  </w:style>
  <w:style w:type="character" w:customStyle="1" w:styleId="95">
    <w:name w:val="B2 Char"/>
    <w:link w:val="94"/>
    <w:qFormat/>
    <w:uiPriority w:val="0"/>
    <w:rPr>
      <w:rFonts w:eastAsia="等线"/>
      <w:lang w:val="en-GB" w:eastAsia="zh-CN"/>
    </w:rPr>
  </w:style>
  <w:style w:type="paragraph" w:customStyle="1" w:styleId="96">
    <w:name w:val="B4"/>
    <w:basedOn w:val="40"/>
    <w:qFormat/>
    <w:uiPriority w:val="0"/>
  </w:style>
  <w:style w:type="paragraph" w:customStyle="1" w:styleId="97">
    <w:name w:val="B5"/>
    <w:basedOn w:val="39"/>
    <w:qFormat/>
    <w:uiPriority w:val="0"/>
  </w:style>
  <w:style w:type="paragraph" w:customStyle="1" w:styleId="98">
    <w:name w:val="ZTD"/>
    <w:basedOn w:val="87"/>
    <w:qFormat/>
    <w:uiPriority w:val="0"/>
    <w:pPr>
      <w:framePr w:hRule="auto" w:y="852"/>
    </w:pPr>
    <w:rPr>
      <w:i w:val="0"/>
      <w:sz w:val="40"/>
    </w:rPr>
  </w:style>
  <w:style w:type="character" w:customStyle="1" w:styleId="99">
    <w:name w:val="apple-style-span"/>
    <w:basedOn w:val="46"/>
    <w:qFormat/>
    <w:uiPriority w:val="0"/>
  </w:style>
  <w:style w:type="paragraph" w:customStyle="1" w:styleId="10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01">
    <w:name w:val="List Paragraph"/>
    <w:basedOn w:val="1"/>
    <w:link w:val="102"/>
    <w:qFormat/>
    <w:uiPriority w:val="34"/>
    <w:pPr>
      <w:overflowPunct/>
      <w:autoSpaceDE/>
      <w:autoSpaceDN/>
      <w:adjustRightInd/>
      <w:spacing w:after="120"/>
      <w:ind w:left="720"/>
      <w:contextualSpacing/>
      <w:textAlignment w:val="auto"/>
    </w:pPr>
    <w:rPr>
      <w:rFonts w:eastAsia="MS Mincho"/>
      <w:sz w:val="24"/>
      <w:szCs w:val="24"/>
      <w:lang w:eastAsia="ja-JP"/>
    </w:rPr>
  </w:style>
  <w:style w:type="character" w:customStyle="1" w:styleId="102">
    <w:name w:val="목록 단락 Char"/>
    <w:link w:val="101"/>
    <w:qFormat/>
    <w:uiPriority w:val="34"/>
    <w:rPr>
      <w:sz w:val="24"/>
      <w:szCs w:val="24"/>
      <w:lang w:val="en-GB" w:eastAsia="ja-JP"/>
    </w:rPr>
  </w:style>
  <w:style w:type="paragraph" w:customStyle="1" w:styleId="103">
    <w:name w:val="_Style 102"/>
    <w:semiHidden/>
    <w:qFormat/>
    <w:uiPriority w:val="99"/>
    <w:rPr>
      <w:rFonts w:ascii="Times New Roman" w:hAnsi="Times New Roman" w:eastAsia="等线" w:cs="Times New Roman"/>
      <w:lang w:val="en-GB" w:eastAsia="zh-CN" w:bidi="ar-SA"/>
    </w:rPr>
  </w:style>
  <w:style w:type="character" w:customStyle="1" w:styleId="104">
    <w:name w:val="B1 Zchn"/>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0FF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1417</Words>
  <Characters>7457</Characters>
  <Lines>199</Lines>
  <Paragraphs>56</Paragraphs>
  <TotalTime>11</TotalTime>
  <ScaleCrop>false</ScaleCrop>
  <LinksUpToDate>false</LinksUpToDate>
  <CharactersWithSpaces>8932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2025-09-04T00:24:00Z</dcterms:created>
  <dc:creator>Joern Krause</dc:creator>
  <cp:lastModifiedBy>Gen CAO</cp:lastModifiedBy>
  <cp:lastPrinted>2014-08-13T08:20:00Z</cp:lastPrinted>
  <dcterms:modified xsi:type="dcterms:W3CDTF">2025-09-08T13:54:36Z</dcterms:modified>
  <dc:title>WI summary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FB7AC844BA954257904730DAC4D3D857_13</vt:lpwstr>
  </property>
  <property fmtid="{D5CDD505-2E9C-101B-9397-08002B2CF9AE}" pid="4" name="KSOTemplateDocerSaveRecord">
    <vt:lpwstr>eyJoZGlkIjoiZDE3NTEyYzUyZWFmNjJhYzE2ODgzNzAyMTJlZWJiNTUiLCJ1c2VySWQiOiIzODg2NDI5NzAifQ==</vt:lpwstr>
  </property>
</Properties>
</file>